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80E31">
      <w:pPr>
        <w:pStyle w:val="121"/>
        <w:sectPr>
          <w:headerReference r:id="rId4" w:type="first"/>
          <w:headerReference r:id="rId3" w:type="default"/>
          <w:footerReference r:id="rId5" w:type="default"/>
          <w:footerReference r:id="rId6" w:type="even"/>
          <w:pgSz w:w="11907" w:h="16839"/>
          <w:pgMar w:top="567" w:right="851" w:bottom="1361" w:left="1418" w:header="0" w:footer="0" w:gutter="0"/>
          <w:pgNumType w:start="1"/>
          <w:cols w:space="720" w:num="1"/>
          <w:titlePg/>
          <w:docGrid w:type="lines" w:linePitch="312" w:charSpace="0"/>
        </w:sectPr>
      </w:pPr>
      <w:bookmarkStart w:id="0" w:name="SectionMark0"/>
      <w:bookmarkStart w:id="30" w:name="_GoBack"/>
      <w:bookmarkEnd w:id="30"/>
      <w:r>
        <mc:AlternateContent>
          <mc:Choice Requires="wps">
            <w:drawing>
              <wp:anchor distT="0" distB="0" distL="114300" distR="114300" simplePos="0" relativeHeight="251668480" behindDoc="0" locked="1" layoutInCell="1" allowOverlap="1">
                <wp:simplePos x="0" y="0"/>
                <wp:positionH relativeFrom="margin">
                  <wp:posOffset>-66675</wp:posOffset>
                </wp:positionH>
                <wp:positionV relativeFrom="margin">
                  <wp:posOffset>8477250</wp:posOffset>
                </wp:positionV>
                <wp:extent cx="6120130" cy="834390"/>
                <wp:effectExtent l="0" t="0" r="13970" b="381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6120130" cy="834390"/>
                        </a:xfrm>
                        <a:prstGeom prst="rect">
                          <a:avLst/>
                        </a:prstGeom>
                        <a:solidFill>
                          <a:srgbClr val="FFFFFF"/>
                        </a:solidFill>
                        <a:ln>
                          <a:noFill/>
                        </a:ln>
                        <a:effectLst/>
                      </wps:spPr>
                      <wps:txbx>
                        <w:txbxContent>
                          <w:p w14:paraId="6D550AED">
                            <w:pPr>
                              <w:pStyle w:val="138"/>
                              <w:ind w:firstLine="2124" w:firstLineChars="450"/>
                              <w:jc w:val="both"/>
                              <w:rPr>
                                <w:spacing w:val="0"/>
                                <w:sz w:val="32"/>
                                <w:szCs w:val="32"/>
                              </w:rPr>
                            </w:pPr>
                            <w:r>
                              <w:rPr>
                                <w:rFonts w:hint="eastAsia"/>
                                <w:sz w:val="32"/>
                                <w:szCs w:val="32"/>
                              </w:rPr>
                              <w:t>河北省市场监督管理局</w:t>
                            </w:r>
                            <w:r>
                              <w:rPr>
                                <w:rFonts w:hint="eastAsia"/>
                                <w:spacing w:val="50"/>
                                <w:sz w:val="32"/>
                                <w:szCs w:val="32"/>
                              </w:rPr>
                              <w:t xml:space="preserve">  </w:t>
                            </w:r>
                            <w:r>
                              <w:rPr>
                                <w:rFonts w:hint="eastAsia"/>
                                <w:spacing w:val="0"/>
                                <w:sz w:val="32"/>
                                <w:szCs w:val="32"/>
                              </w:rPr>
                              <w:t>发 布</w:t>
                            </w:r>
                          </w:p>
                          <w:p w14:paraId="1E3A0BF9">
                            <w:pPr>
                              <w:pStyle w:val="138"/>
                              <w:ind w:firstLine="1944" w:firstLineChars="450"/>
                              <w:jc w:val="both"/>
                              <w:rPr>
                                <w:spacing w:val="0"/>
                                <w:sz w:val="32"/>
                                <w:szCs w:val="32"/>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25pt;margin-top:667.5pt;height:65.7pt;width:481.9pt;mso-position-horizontal-relative:margin;mso-position-vertical-relative:margin;z-index:251668480;mso-width-relative:page;mso-height-relative:page;" fillcolor="#FFFFFF" filled="t" stroked="f" coordsize="21600,21600" o:gfxdata="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bNR8Y2wAAAA0BAAAPAAAAAAAAAAEAIAAAACIAAABkcnMvZG93bnJldi54bWxQSwECFAAU&#10;AAAACACHTuJAh7ImnycCAAA+BAAADgAAAAAAAAABACAAAAAqAQAAZHJzL2Uyb0RvYy54bWxQSwUG&#10;AAAAAAYABgBZAQAAwwUAAAAA&#10;">
                <v:fill on="t" focussize="0,0"/>
                <v:stroke on="f"/>
                <v:imagedata o:title=""/>
                <o:lock v:ext="edit" aspectratio="f"/>
                <v:textbox inset="0mm,0mm,0mm,0mm">
                  <w:txbxContent>
                    <w:p w14:paraId="6D550AED">
                      <w:pPr>
                        <w:pStyle w:val="138"/>
                        <w:ind w:firstLine="2124" w:firstLineChars="450"/>
                        <w:jc w:val="both"/>
                        <w:rPr>
                          <w:spacing w:val="0"/>
                          <w:sz w:val="32"/>
                          <w:szCs w:val="32"/>
                        </w:rPr>
                      </w:pPr>
                      <w:r>
                        <w:rPr>
                          <w:rFonts w:hint="eastAsia"/>
                          <w:sz w:val="32"/>
                          <w:szCs w:val="32"/>
                        </w:rPr>
                        <w:t>河北省市场监督管理局</w:t>
                      </w:r>
                      <w:r>
                        <w:rPr>
                          <w:rFonts w:hint="eastAsia"/>
                          <w:spacing w:val="50"/>
                          <w:sz w:val="32"/>
                          <w:szCs w:val="32"/>
                        </w:rPr>
                        <w:t xml:space="preserve">  </w:t>
                      </w:r>
                      <w:r>
                        <w:rPr>
                          <w:rFonts w:hint="eastAsia"/>
                          <w:spacing w:val="0"/>
                          <w:sz w:val="32"/>
                          <w:szCs w:val="32"/>
                        </w:rPr>
                        <w:t>发 布</w:t>
                      </w:r>
                    </w:p>
                    <w:p w14:paraId="1E3A0BF9">
                      <w:pPr>
                        <w:pStyle w:val="138"/>
                        <w:ind w:firstLine="1944" w:firstLineChars="450"/>
                        <w:jc w:val="both"/>
                        <w:rPr>
                          <w:spacing w:val="0"/>
                          <w:sz w:val="32"/>
                          <w:szCs w:val="32"/>
                        </w:rPr>
                      </w:pPr>
                    </w:p>
                  </w:txbxContent>
                </v:textbox>
                <w10:anchorlock/>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8464550</wp:posOffset>
                </wp:positionV>
                <wp:extent cx="6121400" cy="0"/>
                <wp:effectExtent l="0" t="0" r="0" b="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a:effectLst/>
                      </wps:spPr>
                      <wps:bodyPr/>
                    </wps:wsp>
                  </a:graphicData>
                </a:graphic>
              </wp:anchor>
            </w:drawing>
          </mc:Choice>
          <mc:Fallback>
            <w:pict>
              <v:line id="_x0000_s1026" o:spid="_x0000_s1026" o:spt="20" style="position:absolute;left:0pt;margin-left:0pt;margin-top:666.5pt;height:0pt;width:482pt;z-index:251667456;mso-width-relative:page;mso-height-relative:page;" filled="f" stroked="t" coordsize="21600,21600" o:gfxdata="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FA18tYA&#10;AAAKAQAADwAAAAAAAAABACAAAAAiAAAAZHJzL2Rvd25yZXYueG1sUEsBAhQAFAAAAAgAh07iQFSc&#10;ZMXoAQAAuwMAAA4AAAAAAAAAAQAgAAAAJQEAAGRycy9lMm9Eb2MueG1sUEsFBgAAAAAGAAYAWQEA&#10;AH8FA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2272665</wp:posOffset>
                </wp:positionV>
                <wp:extent cx="6121400" cy="0"/>
                <wp:effectExtent l="0" t="0" r="0" b="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a:effectLst/>
                      </wps:spPr>
                      <wps:bodyPr/>
                    </wps:wsp>
                  </a:graphicData>
                </a:graphic>
              </wp:anchor>
            </w:drawing>
          </mc:Choice>
          <mc:Fallback>
            <w:pict>
              <v:line id="_x0000_s1026" o:spid="_x0000_s1026" o:spt="20" style="position:absolute;left:0pt;margin-left:0pt;margin-top:178.95pt;height:0pt;width:482pt;z-index:251666432;mso-width-relative:page;mso-height-relative:page;" filled="f" stroked="t" coordsize="21600,21600" o:gfxdata="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O+y27X&#10;AAAACAEAAA8AAAAAAAAAAQAgAAAAIgAAAGRycy9kb3ducmV2LnhtbFBLAQIUABQAAAAIAIdO4kD1&#10;9tJZ6AEAALkDAAAOAAAAAAAAAAEAIAAAACYBAABkcnMvZTJvRG9jLnhtbFBLBQYAAAAABgAGAFkB&#10;AACABQ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4000500</wp:posOffset>
                </wp:positionH>
                <wp:positionV relativeFrom="margin">
                  <wp:posOffset>8122920</wp:posOffset>
                </wp:positionV>
                <wp:extent cx="2019300" cy="312420"/>
                <wp:effectExtent l="0" t="0" r="0" b="1143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2A14A482">
                            <w:pPr>
                              <w:pStyle w:val="140"/>
                              <w:rPr>
                                <w:rFonts w:ascii="宋体" w:hAnsi="宋体" w:eastAsia="宋体"/>
                              </w:rPr>
                            </w:pPr>
                            <w:r>
                              <w:rPr>
                                <w:rFonts w:hint="eastAsia" w:ascii="宋体" w:hAnsi="宋体" w:eastAsia="宋体"/>
                              </w:rPr>
                              <w:t>20</w:t>
                            </w:r>
                            <w:r>
                              <w:rPr>
                                <w:rFonts w:ascii="宋体" w:hAnsi="宋体" w:eastAsia="宋体"/>
                              </w:rPr>
                              <w:t>2</w:t>
                            </w:r>
                            <w:r>
                              <w:rPr>
                                <w:rFonts w:hint="eastAsia" w:ascii="宋体" w:hAnsi="宋体" w:eastAsia="宋体"/>
                                <w:lang w:val="en-US" w:eastAsia="zh-CN"/>
                              </w:rPr>
                              <w:t>5</w:t>
                            </w:r>
                            <w:r>
                              <w:rPr>
                                <w:rFonts w:hint="eastAsia" w:ascii="宋体" w:hAnsi="宋体" w:eastAsia="宋体"/>
                              </w:rPr>
                              <w:t>-××-××实施</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15pt;margin-top:639.6pt;height:24.6pt;width:159pt;mso-position-horizontal-relative:margin;mso-position-vertical-relative:margin;z-index:251664384;mso-width-relative:page;mso-height-relative:page;" fillcolor="#FFFFFF" filled="t" stroked="f" coordsize="21600,21600" o:gfxdata="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tXZs7aAAAADQEAAA8AAAAAAAAAAQAgAAAAIgAAAGRycy9kb3ducmV2LnhtbFBLAQIUABQAAAAI&#10;AIdO4kBDG8H8JAIAADwEAAAOAAAAAAAAAAEAIAAAACkBAABkcnMvZTJvRG9jLnhtbFBLBQYAAAAA&#10;BgAGAFkBAAC/BQAAAAA=&#10;">
                <v:fill on="t" focussize="0,0"/>
                <v:stroke on="f"/>
                <v:imagedata o:title=""/>
                <o:lock v:ext="edit" aspectratio="f"/>
                <v:textbox inset="0mm,0mm,0mm,0mm">
                  <w:txbxContent>
                    <w:p w14:paraId="2A14A482">
                      <w:pPr>
                        <w:pStyle w:val="140"/>
                        <w:rPr>
                          <w:rFonts w:ascii="宋体" w:hAnsi="宋体" w:eastAsia="宋体"/>
                        </w:rPr>
                      </w:pPr>
                      <w:r>
                        <w:rPr>
                          <w:rFonts w:hint="eastAsia" w:ascii="宋体" w:hAnsi="宋体" w:eastAsia="宋体"/>
                        </w:rPr>
                        <w:t>20</w:t>
                      </w:r>
                      <w:r>
                        <w:rPr>
                          <w:rFonts w:ascii="宋体" w:hAnsi="宋体" w:eastAsia="宋体"/>
                        </w:rPr>
                        <w:t>2</w:t>
                      </w:r>
                      <w:r>
                        <w:rPr>
                          <w:rFonts w:hint="eastAsia" w:ascii="宋体" w:hAnsi="宋体" w:eastAsia="宋体"/>
                          <w:lang w:val="en-US" w:eastAsia="zh-CN"/>
                        </w:rPr>
                        <w:t>5</w:t>
                      </w:r>
                      <w:r>
                        <w:rPr>
                          <w:rFonts w:hint="eastAsia" w:ascii="宋体" w:hAnsi="宋体" w:eastAsia="宋体"/>
                        </w:rPr>
                        <w:t>-××-××实施</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8122920</wp:posOffset>
                </wp:positionV>
                <wp:extent cx="2019300" cy="312420"/>
                <wp:effectExtent l="0" t="0" r="0" b="1143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28E1F590">
                            <w:pPr>
                              <w:pStyle w:val="112"/>
                              <w:rPr>
                                <w:rFonts w:ascii="宋体" w:hAnsi="宋体" w:eastAsia="宋体"/>
                              </w:rPr>
                            </w:pPr>
                            <w:r>
                              <w:rPr>
                                <w:rFonts w:hint="eastAsia" w:ascii="宋体" w:hAnsi="宋体" w:eastAsia="宋体"/>
                              </w:rPr>
                              <w:t>20</w:t>
                            </w:r>
                            <w:r>
                              <w:rPr>
                                <w:rFonts w:ascii="宋体" w:hAnsi="宋体" w:eastAsia="宋体"/>
                              </w:rPr>
                              <w:t>2</w:t>
                            </w:r>
                            <w:r>
                              <w:rPr>
                                <w:rFonts w:hint="eastAsia" w:ascii="宋体" w:hAnsi="宋体" w:eastAsia="宋体"/>
                                <w:lang w:val="en-US" w:eastAsia="zh-CN"/>
                              </w:rPr>
                              <w:t>5</w:t>
                            </w:r>
                            <w:r>
                              <w:rPr>
                                <w:rFonts w:hint="eastAsia" w:ascii="宋体" w:hAnsi="宋体" w:eastAsia="宋体"/>
                              </w:rPr>
                              <w:t>-××-××发布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639.6pt;height:24.6pt;width:159pt;mso-position-horizontal-relative:margin;mso-position-vertical-relative:margin;z-index:251665408;mso-width-relative:page;mso-height-relative:page;" fillcolor="#FFFFFF" filled="t" stroked="f" coordsize="21600,21600" o:gfxdata="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RwvindgAAAAKAQAADwAAAAAAAAABACAAAAAiAAAAZHJzL2Rvd25yZXYueG1sUEsBAhQAFAAAAAgA&#10;h07iQAiFMVUlAgAAPAQAAA4AAAAAAAAAAQAgAAAAJwEAAGRycy9lMm9Eb2MueG1sUEsFBgAAAAAG&#10;AAYAWQEAAL4FAAAAAA==&#10;">
                <v:fill on="t" focussize="0,0"/>
                <v:stroke on="f"/>
                <v:imagedata o:title=""/>
                <o:lock v:ext="edit" aspectratio="f"/>
                <v:textbox inset="0mm,0mm,0mm,0mm">
                  <w:txbxContent>
                    <w:p w14:paraId="28E1F590">
                      <w:pPr>
                        <w:pStyle w:val="112"/>
                        <w:rPr>
                          <w:rFonts w:ascii="宋体" w:hAnsi="宋体" w:eastAsia="宋体"/>
                        </w:rPr>
                      </w:pPr>
                      <w:r>
                        <w:rPr>
                          <w:rFonts w:hint="eastAsia" w:ascii="宋体" w:hAnsi="宋体" w:eastAsia="宋体"/>
                        </w:rPr>
                        <w:t>20</w:t>
                      </w:r>
                      <w:r>
                        <w:rPr>
                          <w:rFonts w:ascii="宋体" w:hAnsi="宋体" w:eastAsia="宋体"/>
                        </w:rPr>
                        <w:t>2</w:t>
                      </w:r>
                      <w:r>
                        <w:rPr>
                          <w:rFonts w:hint="eastAsia" w:ascii="宋体" w:hAnsi="宋体" w:eastAsia="宋体"/>
                          <w:lang w:val="en-US" w:eastAsia="zh-CN"/>
                        </w:rPr>
                        <w:t>5</w:t>
                      </w:r>
                      <w:r>
                        <w:rPr>
                          <w:rFonts w:hint="eastAsia" w:ascii="宋体" w:hAnsi="宋体" w:eastAsia="宋体"/>
                        </w:rPr>
                        <w:t>-××-××发布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-63500</wp:posOffset>
                </wp:positionH>
                <wp:positionV relativeFrom="margin">
                  <wp:posOffset>2769870</wp:posOffset>
                </wp:positionV>
                <wp:extent cx="6341745" cy="1223645"/>
                <wp:effectExtent l="0" t="0" r="1905"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6341745" cy="1223645"/>
                        </a:xfrm>
                        <a:prstGeom prst="rect">
                          <a:avLst/>
                        </a:prstGeom>
                        <a:solidFill>
                          <a:srgbClr val="FFFFFF"/>
                        </a:solidFill>
                        <a:ln>
                          <a:noFill/>
                        </a:ln>
                        <a:effectLst/>
                      </wps:spPr>
                      <wps:txbx>
                        <w:txbxContent>
                          <w:p w14:paraId="655C049D">
                            <w:pPr>
                              <w:pStyle w:val="116"/>
                              <w:spacing w:line="360" w:lineRule="auto"/>
                              <w:rPr>
                                <w:color w:val="auto"/>
                              </w:rPr>
                            </w:pPr>
                            <w:r>
                              <w:rPr>
                                <w:rFonts w:hint="eastAsia"/>
                                <w:b/>
                                <w:color w:val="auto"/>
                                <w:szCs w:val="52"/>
                              </w:rPr>
                              <w:t xml:space="preserve">城镇再生水利用指南 </w:t>
                            </w:r>
                            <w:r>
                              <w:rPr>
                                <w:b/>
                                <w:color w:val="auto"/>
                                <w:szCs w:val="52"/>
                              </w:rPr>
                              <w:t>第</w:t>
                            </w:r>
                            <w:r>
                              <w:rPr>
                                <w:rFonts w:hint="eastAsia"/>
                                <w:b/>
                                <w:color w:val="auto"/>
                                <w:szCs w:val="52"/>
                              </w:rPr>
                              <w:t>1</w:t>
                            </w:r>
                            <w:r>
                              <w:rPr>
                                <w:b/>
                                <w:color w:val="auto"/>
                                <w:szCs w:val="52"/>
                              </w:rPr>
                              <w:t>部分</w:t>
                            </w:r>
                            <w:r>
                              <w:rPr>
                                <w:rFonts w:hint="eastAsia"/>
                                <w:b/>
                                <w:color w:val="auto"/>
                                <w:szCs w:val="52"/>
                              </w:rPr>
                              <w:t>：工业企业</w:t>
                            </w:r>
                          </w:p>
                          <w:p w14:paraId="5DE63C0D">
                            <w:pPr>
                              <w:pStyle w:val="46"/>
                              <w:snapToGrid w:val="0"/>
                              <w:spacing w:line="240" w:lineRule="auto"/>
                              <w:ind w:firstLine="0"/>
                              <w:jc w:val="center"/>
                              <w:rPr>
                                <w:rFonts w:eastAsia="华文仿宋"/>
                                <w:b/>
                                <w:color w:val="auto"/>
                                <w:sz w:val="32"/>
                                <w:szCs w:val="32"/>
                                <w:lang w:val="en-GB"/>
                              </w:rPr>
                            </w:pPr>
                            <w:r>
                              <w:rPr>
                                <w:rFonts w:hint="eastAsia" w:eastAsia="华文仿宋"/>
                                <w:b/>
                                <w:color w:val="auto"/>
                                <w:sz w:val="32"/>
                                <w:szCs w:val="32"/>
                                <w:lang w:val="en-GB"/>
                              </w:rPr>
                              <w:t xml:space="preserve"> （</w:t>
                            </w:r>
                            <w:r>
                              <w:rPr>
                                <w:rFonts w:hint="eastAsia" w:eastAsia="华文仿宋"/>
                                <w:b/>
                                <w:color w:val="auto"/>
                                <w:sz w:val="32"/>
                                <w:szCs w:val="32"/>
                                <w:lang w:val="en-US" w:eastAsia="zh-CN"/>
                              </w:rPr>
                              <w:t>网上征求意见稿</w:t>
                            </w:r>
                            <w:r>
                              <w:rPr>
                                <w:rFonts w:hint="eastAsia" w:eastAsia="华文仿宋"/>
                                <w:b/>
                                <w:color w:val="auto"/>
                                <w:sz w:val="32"/>
                                <w:szCs w:val="32"/>
                                <w:lang w:val="en-GB"/>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pt;margin-top:218.1pt;height:96.35pt;width:499.35pt;mso-position-horizontal-relative:margin;mso-position-vertical-relative:margin;z-index:251663360;mso-width-relative:page;mso-height-relative:page;" fillcolor="#FFFFFF" filled="t" stroked="f" coordsize="21600,21600" o:gfxdata="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3b05adsAAAALAQAADwAAAAAAAAABACAAAAAiAAAAZHJzL2Rvd25yZXYueG1sUEsBAhQAFAAA&#10;AAgAh07iQJVr4lklAgAAPQQAAA4AAAAAAAAAAQAgAAAAKgEAAGRycy9lMm9Eb2MueG1sUEsFBgAA&#10;AAAGAAYAWQEAAMEFAAAAAA==&#10;">
                <v:fill on="t" focussize="0,0"/>
                <v:stroke on="f"/>
                <v:imagedata o:title=""/>
                <o:lock v:ext="edit" aspectratio="f"/>
                <v:textbox inset="0mm,0mm,0mm,0mm">
                  <w:txbxContent>
                    <w:p w14:paraId="655C049D">
                      <w:pPr>
                        <w:pStyle w:val="116"/>
                        <w:spacing w:line="360" w:lineRule="auto"/>
                        <w:rPr>
                          <w:color w:val="auto"/>
                        </w:rPr>
                      </w:pPr>
                      <w:r>
                        <w:rPr>
                          <w:rFonts w:hint="eastAsia"/>
                          <w:b/>
                          <w:color w:val="auto"/>
                          <w:szCs w:val="52"/>
                        </w:rPr>
                        <w:t xml:space="preserve">城镇再生水利用指南 </w:t>
                      </w:r>
                      <w:r>
                        <w:rPr>
                          <w:b/>
                          <w:color w:val="auto"/>
                          <w:szCs w:val="52"/>
                        </w:rPr>
                        <w:t>第</w:t>
                      </w:r>
                      <w:r>
                        <w:rPr>
                          <w:rFonts w:hint="eastAsia"/>
                          <w:b/>
                          <w:color w:val="auto"/>
                          <w:szCs w:val="52"/>
                        </w:rPr>
                        <w:t>1</w:t>
                      </w:r>
                      <w:r>
                        <w:rPr>
                          <w:b/>
                          <w:color w:val="auto"/>
                          <w:szCs w:val="52"/>
                        </w:rPr>
                        <w:t>部分</w:t>
                      </w:r>
                      <w:r>
                        <w:rPr>
                          <w:rFonts w:hint="eastAsia"/>
                          <w:b/>
                          <w:color w:val="auto"/>
                          <w:szCs w:val="52"/>
                        </w:rPr>
                        <w:t>：工业企业</w:t>
                      </w:r>
                    </w:p>
                    <w:p w14:paraId="5DE63C0D">
                      <w:pPr>
                        <w:pStyle w:val="46"/>
                        <w:snapToGrid w:val="0"/>
                        <w:spacing w:line="240" w:lineRule="auto"/>
                        <w:ind w:firstLine="0"/>
                        <w:jc w:val="center"/>
                        <w:rPr>
                          <w:rFonts w:eastAsia="华文仿宋"/>
                          <w:b/>
                          <w:color w:val="auto"/>
                          <w:sz w:val="32"/>
                          <w:szCs w:val="32"/>
                          <w:lang w:val="en-GB"/>
                        </w:rPr>
                      </w:pPr>
                      <w:r>
                        <w:rPr>
                          <w:rFonts w:hint="eastAsia" w:eastAsia="华文仿宋"/>
                          <w:b/>
                          <w:color w:val="auto"/>
                          <w:sz w:val="32"/>
                          <w:szCs w:val="32"/>
                          <w:lang w:val="en-GB"/>
                        </w:rPr>
                        <w:t xml:space="preserve"> （</w:t>
                      </w:r>
                      <w:r>
                        <w:rPr>
                          <w:rFonts w:hint="eastAsia" w:eastAsia="华文仿宋"/>
                          <w:b/>
                          <w:color w:val="auto"/>
                          <w:sz w:val="32"/>
                          <w:szCs w:val="32"/>
                          <w:lang w:val="en-US" w:eastAsia="zh-CN"/>
                        </w:rPr>
                        <w:t>网上征求意见稿</w:t>
                      </w:r>
                      <w:r>
                        <w:rPr>
                          <w:rFonts w:hint="eastAsia" w:eastAsia="华文仿宋"/>
                          <w:b/>
                          <w:color w:val="auto"/>
                          <w:sz w:val="32"/>
                          <w:szCs w:val="32"/>
                          <w:lang w:val="en-GB"/>
                        </w:rPr>
                        <w:t>）</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align>center</wp:align>
                </wp:positionH>
                <wp:positionV relativeFrom="margin">
                  <wp:posOffset>1417320</wp:posOffset>
                </wp:positionV>
                <wp:extent cx="5802630" cy="860425"/>
                <wp:effectExtent l="0" t="0" r="7620" b="1587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ffectLst/>
                      </wps:spPr>
                      <wps:txbx>
                        <w:txbxContent>
                          <w:p w14:paraId="297F313E">
                            <w:pPr>
                              <w:pStyle w:val="113"/>
                              <w:rPr>
                                <w:rFonts w:hint="eastAsia" w:ascii="宋体" w:hAnsi="宋体" w:eastAsia="宋体"/>
                                <w:b/>
                                <w:bCs/>
                                <w:lang w:eastAsia="zh-CN"/>
                              </w:rPr>
                            </w:pPr>
                            <w:r>
                              <w:rPr>
                                <w:rFonts w:ascii="宋体" w:hAnsi="宋体"/>
                                <w:b/>
                                <w:bCs/>
                              </w:rPr>
                              <w:t>DB</w:t>
                            </w:r>
                            <w:r>
                              <w:rPr>
                                <w:rFonts w:hint="eastAsia" w:ascii="宋体" w:hAnsi="宋体"/>
                                <w:b/>
                                <w:bCs/>
                                <w:szCs w:val="24"/>
                              </w:rPr>
                              <w:t>13</w:t>
                            </w:r>
                            <w:r>
                              <w:rPr>
                                <w:rFonts w:ascii="宋体" w:hAnsi="宋体"/>
                                <w:b/>
                                <w:bCs/>
                              </w:rPr>
                              <w:t xml:space="preserve">/T </w:t>
                            </w:r>
                            <w:r>
                              <w:rPr>
                                <w:rFonts w:hint="eastAsia" w:ascii="宋体" w:hAnsi="宋体"/>
                                <w:b/>
                                <w:bCs/>
                                <w:sz w:val="24"/>
                                <w:szCs w:val="24"/>
                              </w:rPr>
                              <w:t>×××</w:t>
                            </w:r>
                            <w:r>
                              <w:rPr>
                                <w:rFonts w:ascii="宋体" w:hAnsi="宋体"/>
                                <w:b/>
                                <w:bCs/>
                              </w:rPr>
                              <w:t>—</w:t>
                            </w:r>
                            <w:r>
                              <w:rPr>
                                <w:rFonts w:hint="eastAsia" w:ascii="宋体" w:hAnsi="宋体"/>
                                <w:b/>
                                <w:bCs/>
                              </w:rPr>
                              <w:t>20</w:t>
                            </w:r>
                            <w:r>
                              <w:rPr>
                                <w:rFonts w:ascii="宋体" w:hAnsi="宋体"/>
                                <w:b/>
                                <w:bCs/>
                              </w:rPr>
                              <w:t>2</w:t>
                            </w:r>
                            <w:r>
                              <w:rPr>
                                <w:rFonts w:hint="eastAsia" w:ascii="宋体" w:hAnsi="宋体"/>
                                <w:b/>
                                <w:bCs/>
                                <w:lang w:val="en-US" w:eastAsia="zh-CN"/>
                              </w:rPr>
                              <w:t>5</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111.6pt;height:67.75pt;width:456.9pt;mso-position-horizontal:center;mso-position-horizontal-relative:margin;mso-position-vertical-relative:margin;z-index:251662336;mso-width-relative:page;mso-height-relative:page;" fillcolor="#FFFFFF" filled="t" stroked="f" coordsize="21600,21600" o:gfxdata="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GnX/YAAAACAEAAA8AAAAAAAAAAQAgAAAAIgAAAGRycy9kb3ducmV2LnhtbFBLAQIUABQAAAAI&#10;AIdO4kDHZG0xJgIAADwEAAAOAAAAAAAAAAEAIAAAACcBAABkcnMvZTJvRG9jLnhtbFBLBQYAAAAA&#10;BgAGAFkBAAC/BQAAAAA=&#10;">
                <v:fill on="t" focussize="0,0"/>
                <v:stroke on="f"/>
                <v:imagedata o:title=""/>
                <o:lock v:ext="edit" aspectratio="f"/>
                <v:textbox inset="0mm,0mm,0mm,0mm">
                  <w:txbxContent>
                    <w:p w14:paraId="297F313E">
                      <w:pPr>
                        <w:pStyle w:val="113"/>
                        <w:rPr>
                          <w:rFonts w:hint="eastAsia" w:ascii="宋体" w:hAnsi="宋体" w:eastAsia="宋体"/>
                          <w:b/>
                          <w:bCs/>
                          <w:lang w:eastAsia="zh-CN"/>
                        </w:rPr>
                      </w:pPr>
                      <w:r>
                        <w:rPr>
                          <w:rFonts w:ascii="宋体" w:hAnsi="宋体"/>
                          <w:b/>
                          <w:bCs/>
                        </w:rPr>
                        <w:t>DB</w:t>
                      </w:r>
                      <w:r>
                        <w:rPr>
                          <w:rFonts w:hint="eastAsia" w:ascii="宋体" w:hAnsi="宋体"/>
                          <w:b/>
                          <w:bCs/>
                          <w:szCs w:val="24"/>
                        </w:rPr>
                        <w:t>13</w:t>
                      </w:r>
                      <w:r>
                        <w:rPr>
                          <w:rFonts w:ascii="宋体" w:hAnsi="宋体"/>
                          <w:b/>
                          <w:bCs/>
                        </w:rPr>
                        <w:t xml:space="preserve">/T </w:t>
                      </w:r>
                      <w:r>
                        <w:rPr>
                          <w:rFonts w:hint="eastAsia" w:ascii="宋体" w:hAnsi="宋体"/>
                          <w:b/>
                          <w:bCs/>
                          <w:sz w:val="24"/>
                          <w:szCs w:val="24"/>
                        </w:rPr>
                        <w:t>×××</w:t>
                      </w:r>
                      <w:r>
                        <w:rPr>
                          <w:rFonts w:ascii="宋体" w:hAnsi="宋体"/>
                          <w:b/>
                          <w:bCs/>
                        </w:rPr>
                        <w:t>—</w:t>
                      </w:r>
                      <w:r>
                        <w:rPr>
                          <w:rFonts w:hint="eastAsia" w:ascii="宋体" w:hAnsi="宋体"/>
                          <w:b/>
                          <w:bCs/>
                        </w:rPr>
                        <w:t>20</w:t>
                      </w:r>
                      <w:r>
                        <w:rPr>
                          <w:rFonts w:ascii="宋体" w:hAnsi="宋体"/>
                          <w:b/>
                          <w:bCs/>
                        </w:rPr>
                        <w:t>2</w:t>
                      </w:r>
                      <w:r>
                        <w:rPr>
                          <w:rFonts w:hint="eastAsia" w:ascii="宋体" w:hAnsi="宋体"/>
                          <w:b/>
                          <w:bCs/>
                          <w:lang w:val="en-US" w:eastAsia="zh-CN"/>
                        </w:rPr>
                        <w:t>5</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0" t="0" r="6350" b="381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ffectLst/>
                      </wps:spPr>
                      <wps:txbx>
                        <w:txbxContent>
                          <w:p w14:paraId="00526CD8">
                            <w:pPr>
                              <w:pStyle w:val="96"/>
                            </w:pPr>
                            <w:r>
                              <w:t>DB13</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Vk7PNgAAAAKAQAADwAAAAAAAAABACAAAAAiAAAAZHJzL2Rvd25yZXYueG1sUEsBAhQAFAAAAAgA&#10;h07iQE36rjslAgAAPAQAAA4AAAAAAAAAAQAgAAAAJwEAAGRycy9lMm9Eb2MueG1sUEsFBgAAAAAG&#10;AAYAWQEAAL4FAAAAAA==&#10;">
                <v:fill on="t" focussize="0,0"/>
                <v:stroke on="f"/>
                <v:imagedata o:title=""/>
                <o:lock v:ext="edit" aspectratio="f"/>
                <v:textbox inset="0mm,0mm,0mm,0mm">
                  <w:txbxContent>
                    <w:p w14:paraId="00526CD8">
                      <w:pPr>
                        <w:pStyle w:val="96"/>
                      </w:pPr>
                      <w:r>
                        <w:t>DB13</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13970" b="889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ffectLst/>
                      </wps:spPr>
                      <wps:txbx>
                        <w:txbxContent>
                          <w:p w14:paraId="50D91873">
                            <w:pPr>
                              <w:pStyle w:val="137"/>
                            </w:pPr>
                            <w:r>
                              <w:rPr>
                                <w:rFonts w:hint="eastAsia"/>
                              </w:rPr>
                              <w:t>河北省地方标准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EYO&#10;RwXXAAAACAEAAA8AAAAAAAAAAQAgAAAAIgAAAGRycy9kb3ducmV2LnhtbFBLAQIUABQAAAAIAIdO&#10;4kBn7AmIJAIAADwEAAAOAAAAAAAAAAEAIAAAACYBAABkcnMvZTJvRG9jLnhtbFBLBQYAAAAABgAG&#10;AFkBAAC8BQAAAAA=&#10;">
                <v:fill on="t" focussize="0,0"/>
                <v:stroke on="f"/>
                <v:imagedata o:title=""/>
                <o:lock v:ext="edit" aspectratio="f"/>
                <v:textbox inset="0mm,0mm,0mm,0mm">
                  <w:txbxContent>
                    <w:p w14:paraId="50D91873">
                      <w:pPr>
                        <w:pStyle w:val="137"/>
                      </w:pPr>
                      <w:r>
                        <w:rPr>
                          <w:rFonts w:hint="eastAsia"/>
                        </w:rPr>
                        <w:t>河北省地方标准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12700" b="889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ffectLst/>
                      </wps:spPr>
                      <wps:txbx>
                        <w:txbxContent>
                          <w:p w14:paraId="653F6E34">
                            <w:pPr>
                              <w:pStyle w:val="146"/>
                            </w:pPr>
                            <w:r>
                              <w:t>ICS</w:t>
                            </w:r>
                            <w:r>
                              <w:rPr>
                                <w:rFonts w:hint="eastAsia" w:ascii="黑体" w:hAnsi="黑体"/>
                              </w:rPr>
                              <w:t>××</w:t>
                            </w:r>
                            <w:r>
                              <w:rPr>
                                <w:rFonts w:ascii="黑体"/>
                              </w:rPr>
                              <w:t>.</w:t>
                            </w:r>
                            <w:r>
                              <w:rPr>
                                <w:rFonts w:hint="eastAsia" w:ascii="黑体" w:hAnsi="黑体"/>
                              </w:rPr>
                              <w:t>×××</w:t>
                            </w:r>
                            <w:r>
                              <w:rPr>
                                <w:rFonts w:ascii="黑体"/>
                              </w:rPr>
                              <w:t>.</w:t>
                            </w:r>
                            <w:r>
                              <w:rPr>
                                <w:rFonts w:hint="eastAsia" w:ascii="黑体" w:hAnsi="黑体"/>
                              </w:rPr>
                              <w:t>××</w:t>
                            </w:r>
                          </w:p>
                          <w:p w14:paraId="6886E9E4">
                            <w:pPr>
                              <w:pStyle w:val="146"/>
                            </w:pPr>
                            <w:r>
                              <w:rPr>
                                <w:rFonts w:hint="eastAsia"/>
                              </w:rPr>
                              <w:t xml:space="preserve">R </w:t>
                            </w:r>
                            <w:r>
                              <w:rPr>
                                <w:rFonts w:ascii="黑体"/>
                              </w:rPr>
                              <w:t>0</w:t>
                            </w:r>
                            <w:r>
                              <w:rPr>
                                <w:rFonts w:hint="eastAsia" w:ascii="黑体"/>
                              </w:rPr>
                              <w:t>1</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Xsy+DT&#10;AAAABQEAAA8AAAAAAAAAAQAgAAAAIgAAAGRycy9kb3ducmV2LnhtbFBLAQIUABQAAAAIAIdO4kAZ&#10;KXO6JQIAADwEAAAOAAAAAAAAAAEAIAAAACIBAABkcnMvZTJvRG9jLnhtbFBLBQYAAAAABgAGAFkB&#10;AAC5BQAAAAA=&#10;">
                <v:fill on="t" focussize="0,0"/>
                <v:stroke on="f"/>
                <v:imagedata o:title=""/>
                <o:lock v:ext="edit" aspectratio="f"/>
                <v:textbox inset="0mm,0mm,0mm,0mm">
                  <w:txbxContent>
                    <w:p w14:paraId="653F6E34">
                      <w:pPr>
                        <w:pStyle w:val="146"/>
                      </w:pPr>
                      <w:r>
                        <w:t>ICS</w:t>
                      </w:r>
                      <w:r>
                        <w:rPr>
                          <w:rFonts w:hint="eastAsia" w:ascii="黑体" w:hAnsi="黑体"/>
                        </w:rPr>
                        <w:t>××</w:t>
                      </w:r>
                      <w:r>
                        <w:rPr>
                          <w:rFonts w:ascii="黑体"/>
                        </w:rPr>
                        <w:t>.</w:t>
                      </w:r>
                      <w:r>
                        <w:rPr>
                          <w:rFonts w:hint="eastAsia" w:ascii="黑体" w:hAnsi="黑体"/>
                        </w:rPr>
                        <w:t>×××</w:t>
                      </w:r>
                      <w:r>
                        <w:rPr>
                          <w:rFonts w:ascii="黑体"/>
                        </w:rPr>
                        <w:t>.</w:t>
                      </w:r>
                      <w:r>
                        <w:rPr>
                          <w:rFonts w:hint="eastAsia" w:ascii="黑体" w:hAnsi="黑体"/>
                        </w:rPr>
                        <w:t>××</w:t>
                      </w:r>
                    </w:p>
                    <w:p w14:paraId="6886E9E4">
                      <w:pPr>
                        <w:pStyle w:val="146"/>
                      </w:pPr>
                      <w:r>
                        <w:rPr>
                          <w:rFonts w:hint="eastAsia"/>
                        </w:rPr>
                        <w:t xml:space="preserve">R </w:t>
                      </w:r>
                      <w:r>
                        <w:rPr>
                          <w:rFonts w:ascii="黑体"/>
                        </w:rPr>
                        <w:t>0</w:t>
                      </w:r>
                      <w:r>
                        <w:rPr>
                          <w:rFonts w:hint="eastAsia" w:ascii="黑体"/>
                        </w:rPr>
                        <w:t>1</w:t>
                      </w:r>
                    </w:p>
                  </w:txbxContent>
                </v:textbox>
                <w10:anchorlock/>
              </v:shape>
            </w:pict>
          </mc:Fallback>
        </mc:AlternateContent>
      </w:r>
    </w:p>
    <w:bookmarkEnd w:id="0"/>
    <w:p w14:paraId="70360353">
      <w:pPr>
        <w:pStyle w:val="135"/>
        <w:spacing w:line="420" w:lineRule="exact"/>
        <w:rPr>
          <w:rFonts w:asciiTheme="minorEastAsia" w:hAnsiTheme="minorEastAsia" w:eastAsiaTheme="minorEastAsia"/>
        </w:rPr>
      </w:pPr>
      <w:bookmarkStart w:id="1" w:name="SectionMark1"/>
      <w:r>
        <w:rPr>
          <w:rFonts w:ascii="Times New Roman"/>
        </w:rPr>
        <w:t>目    次</w:t>
      </w:r>
    </w:p>
    <w:p w14:paraId="1E9B7566">
      <w:pPr>
        <w:pStyle w:val="19"/>
        <w:tabs>
          <w:tab w:val="right" w:leader="dot" w:pos="9242"/>
          <w:tab w:val="clear" w:pos="9345"/>
        </w:tabs>
        <w:rPr>
          <w:rFonts w:hint="default" w:ascii="Times New Roman" w:hAnsi="Times New Roman" w:eastAsia="宋体" w:cs="Times New Roman"/>
        </w:rPr>
      </w:pPr>
      <w:r>
        <w:rPr>
          <w:rStyle w:val="84"/>
          <w:rFonts w:hint="default" w:ascii="Times New Roman" w:hAnsi="Times New Roman" w:eastAsia="宋体" w:cs="Times New Roman"/>
        </w:rPr>
        <w:fldChar w:fldCharType="begin"/>
      </w:r>
      <w:r>
        <w:rPr>
          <w:rStyle w:val="84"/>
          <w:rFonts w:hint="default" w:ascii="Times New Roman" w:hAnsi="Times New Roman" w:eastAsia="宋体" w:cs="Times New Roman"/>
        </w:rPr>
        <w:instrText xml:space="preserve"> TOC \f \h \z \t "标题 1,1" </w:instrText>
      </w:r>
      <w:r>
        <w:rPr>
          <w:rStyle w:val="84"/>
          <w:rFonts w:hint="default" w:ascii="Times New Roman" w:hAnsi="Times New Roman" w:eastAsia="宋体" w:cs="Times New Roman"/>
        </w:rPr>
        <w:fldChar w:fldCharType="separate"/>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_Toc22281 </w:instrText>
      </w:r>
      <w:r>
        <w:rPr>
          <w:rFonts w:hint="default" w:ascii="Times New Roman" w:hAnsi="Times New Roman" w:eastAsia="宋体" w:cs="Times New Roman"/>
        </w:rPr>
        <w:fldChar w:fldCharType="separate"/>
      </w:r>
      <w:r>
        <w:rPr>
          <w:rFonts w:hint="default" w:ascii="Times New Roman" w:hAnsi="Times New Roman" w:eastAsia="宋体" w:cs="Times New Roman"/>
          <w:szCs w:val="32"/>
        </w:rPr>
        <w:t>前    言</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_Toc22281 \h </w:instrText>
      </w:r>
      <w:r>
        <w:rPr>
          <w:rFonts w:hint="default" w:ascii="Times New Roman" w:hAnsi="Times New Roman" w:eastAsia="宋体" w:cs="Times New Roman"/>
        </w:rPr>
        <w:fldChar w:fldCharType="separate"/>
      </w:r>
      <w:r>
        <w:rPr>
          <w:rFonts w:hint="default" w:ascii="Times New Roman" w:hAnsi="Times New Roman" w:eastAsia="宋体" w:cs="Times New Roman"/>
        </w:rPr>
        <w:t>II</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25909953">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_Toc1631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0"/>
          <w:szCs w:val="21"/>
        </w:rPr>
        <w:t>1  范围</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_Toc1631 \h </w:instrText>
      </w:r>
      <w:r>
        <w:rPr>
          <w:rFonts w:hint="default" w:ascii="Times New Roman" w:hAnsi="Times New Roman" w:eastAsia="宋体" w:cs="Times New Roman"/>
        </w:rPr>
        <w:fldChar w:fldCharType="separate"/>
      </w:r>
      <w:r>
        <w:rPr>
          <w:rFonts w:hint="default" w:ascii="Times New Roman" w:hAnsi="Times New Roman" w:eastAsia="宋体" w:cs="Times New Roman"/>
        </w:rPr>
        <w:t>3</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625E3749">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_Toc6046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0"/>
          <w:szCs w:val="21"/>
        </w:rPr>
        <w:t>2  规范性引用文件</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_Toc6046 \h </w:instrText>
      </w:r>
      <w:r>
        <w:rPr>
          <w:rFonts w:hint="default" w:ascii="Times New Roman" w:hAnsi="Times New Roman" w:eastAsia="宋体" w:cs="Times New Roman"/>
        </w:rPr>
        <w:fldChar w:fldCharType="separate"/>
      </w:r>
      <w:r>
        <w:rPr>
          <w:rFonts w:hint="default" w:ascii="Times New Roman" w:hAnsi="Times New Roman" w:eastAsia="宋体" w:cs="Times New Roman"/>
        </w:rPr>
        <w:t>3</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6F235CD4">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_Toc14285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0"/>
          <w:szCs w:val="21"/>
        </w:rPr>
        <w:t>3  术语和定义</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_Toc14285 \h </w:instrText>
      </w:r>
      <w:r>
        <w:rPr>
          <w:rFonts w:hint="default" w:ascii="Times New Roman" w:hAnsi="Times New Roman" w:eastAsia="宋体" w:cs="Times New Roman"/>
        </w:rPr>
        <w:fldChar w:fldCharType="separate"/>
      </w:r>
      <w:r>
        <w:rPr>
          <w:rFonts w:hint="default" w:ascii="Times New Roman" w:hAnsi="Times New Roman" w:eastAsia="宋体" w:cs="Times New Roman"/>
        </w:rPr>
        <w:t>3</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799676C7">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_Toc1639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0"/>
          <w:szCs w:val="21"/>
        </w:rPr>
        <w:t>4  总体要求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_Toc1639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5FC61329">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_Toc19542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0"/>
          <w:szCs w:val="21"/>
          <w:lang w:val="en-US" w:eastAsia="zh-CN"/>
        </w:rPr>
        <w:t xml:space="preserve">5 </w:t>
      </w:r>
      <w:r>
        <w:rPr>
          <w:rFonts w:hint="default" w:ascii="Times New Roman" w:hAnsi="Times New Roman" w:eastAsia="宋体" w:cs="Times New Roman"/>
          <w:bCs/>
          <w:kern w:val="0"/>
          <w:szCs w:val="24"/>
          <w:lang w:val="en-US" w:eastAsia="zh-CN"/>
        </w:rPr>
        <w:t xml:space="preserve"> </w:t>
      </w:r>
      <w:r>
        <w:rPr>
          <w:rFonts w:hint="default" w:ascii="Times New Roman" w:hAnsi="Times New Roman" w:eastAsia="宋体" w:cs="Times New Roman"/>
          <w:bCs/>
          <w:kern w:val="0"/>
          <w:szCs w:val="21"/>
          <w:lang w:val="en-US" w:eastAsia="zh-CN"/>
        </w:rPr>
        <w:t>水源要求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_Toc19542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0E77A6AB">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_Toc26559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0"/>
          <w:szCs w:val="21"/>
          <w:lang w:val="en-US" w:eastAsia="zh-CN"/>
        </w:rPr>
        <w:t>6  水质要求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_Toc26559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55DEA2B5">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_Toc1681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0"/>
          <w:szCs w:val="21"/>
          <w:lang w:val="en-US" w:eastAsia="zh-CN"/>
        </w:rPr>
        <w:t>7  污水收集</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_Toc1681 \h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249ADFBA">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_Toc27878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0"/>
          <w:szCs w:val="21"/>
          <w:lang w:val="en-US" w:eastAsia="zh-CN"/>
        </w:rPr>
        <w:t>8  处理工艺</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_Toc27878 \h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31303462">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_Toc28602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0"/>
          <w:szCs w:val="21"/>
          <w:lang w:val="en-US" w:eastAsia="zh-CN"/>
        </w:rPr>
        <w:t>9  安全保障措施</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_Toc28602 \h </w:instrText>
      </w:r>
      <w:r>
        <w:rPr>
          <w:rFonts w:hint="default" w:ascii="Times New Roman" w:hAnsi="Times New Roman" w:eastAsia="宋体" w:cs="Times New Roman"/>
        </w:rPr>
        <w:fldChar w:fldCharType="separate"/>
      </w:r>
      <w:r>
        <w:rPr>
          <w:rFonts w:hint="default" w:ascii="Times New Roman" w:hAnsi="Times New Roman" w:eastAsia="宋体" w:cs="Times New Roman"/>
        </w:rPr>
        <w:t>6</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6F179E61">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_Toc2869 </w:instrText>
      </w:r>
      <w:r>
        <w:rPr>
          <w:rFonts w:hint="default" w:ascii="Times New Roman" w:hAnsi="Times New Roman" w:eastAsia="宋体" w:cs="Times New Roman"/>
        </w:rPr>
        <w:fldChar w:fldCharType="separate"/>
      </w:r>
      <w:r>
        <w:rPr>
          <w:rFonts w:hint="default" w:ascii="Times New Roman" w:hAnsi="Times New Roman" w:eastAsia="宋体" w:cs="Times New Roman"/>
          <w:bCs/>
          <w:kern w:val="0"/>
          <w:szCs w:val="21"/>
          <w:lang w:val="en-US" w:eastAsia="zh-CN"/>
        </w:rPr>
        <w:t xml:space="preserve">10  </w:t>
      </w:r>
      <w:r>
        <w:rPr>
          <w:rFonts w:hint="default" w:ascii="Times New Roman" w:hAnsi="Times New Roman" w:eastAsia="宋体" w:cs="Times New Roman"/>
          <w:bCs/>
          <w:kern w:val="0"/>
          <w:szCs w:val="21"/>
        </w:rPr>
        <w:t>输配管网</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_Toc2869 \h </w:instrText>
      </w:r>
      <w:r>
        <w:rPr>
          <w:rFonts w:hint="default" w:ascii="Times New Roman" w:hAnsi="Times New Roman" w:eastAsia="宋体" w:cs="Times New Roman"/>
        </w:rPr>
        <w:fldChar w:fldCharType="separate"/>
      </w:r>
      <w:r>
        <w:rPr>
          <w:rFonts w:hint="default" w:ascii="Times New Roman" w:hAnsi="Times New Roman" w:eastAsia="宋体" w:cs="Times New Roman"/>
        </w:rPr>
        <w:t>6</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794FE70A">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_Toc15500 </w:instrText>
      </w:r>
      <w:r>
        <w:rPr>
          <w:rFonts w:hint="default" w:ascii="Times New Roman" w:hAnsi="Times New Roman" w:eastAsia="宋体" w:cs="Times New Roman"/>
        </w:rPr>
        <w:fldChar w:fldCharType="separate"/>
      </w:r>
      <w:r>
        <w:rPr>
          <w:rFonts w:hint="default" w:ascii="Times New Roman" w:hAnsi="Times New Roman" w:eastAsia="宋体" w:cs="Times New Roman"/>
          <w:bCs w:val="0"/>
          <w:kern w:val="0"/>
          <w:szCs w:val="24"/>
          <w:lang w:val="en-US" w:eastAsia="zh-CN"/>
        </w:rPr>
        <w:t xml:space="preserve">11  </w:t>
      </w:r>
      <w:r>
        <w:rPr>
          <w:rFonts w:hint="default" w:ascii="Times New Roman" w:hAnsi="Times New Roman" w:eastAsia="宋体" w:cs="Times New Roman"/>
          <w:bCs w:val="0"/>
          <w:kern w:val="0"/>
          <w:szCs w:val="24"/>
        </w:rPr>
        <w:t>监测与管理</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_Toc15500 \h </w:instrText>
      </w:r>
      <w:r>
        <w:rPr>
          <w:rFonts w:hint="default" w:ascii="Times New Roman" w:hAnsi="Times New Roman" w:eastAsia="宋体" w:cs="Times New Roman"/>
        </w:rPr>
        <w:fldChar w:fldCharType="separate"/>
      </w:r>
      <w:r>
        <w:rPr>
          <w:rFonts w:hint="default" w:ascii="Times New Roman" w:hAnsi="Times New Roman" w:eastAsia="宋体" w:cs="Times New Roman"/>
        </w:rPr>
        <w:t>7</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1FC1F34F">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_Toc3617 </w:instrText>
      </w:r>
      <w:r>
        <w:rPr>
          <w:rFonts w:hint="default" w:ascii="Times New Roman" w:hAnsi="Times New Roman" w:eastAsia="宋体" w:cs="Times New Roman"/>
        </w:rPr>
        <w:fldChar w:fldCharType="separate"/>
      </w:r>
      <w:r>
        <w:rPr>
          <w:rFonts w:hint="default" w:ascii="Times New Roman" w:hAnsi="Times New Roman" w:eastAsia="宋体" w:cs="Times New Roman"/>
          <w:bCs w:val="0"/>
          <w:kern w:val="0"/>
          <w:szCs w:val="24"/>
        </w:rPr>
        <w:t>1</w:t>
      </w:r>
      <w:r>
        <w:rPr>
          <w:rFonts w:hint="default" w:ascii="Times New Roman" w:hAnsi="Times New Roman" w:eastAsia="宋体" w:cs="Times New Roman"/>
          <w:bCs w:val="0"/>
          <w:kern w:val="0"/>
          <w:szCs w:val="24"/>
          <w:lang w:val="en-US" w:eastAsia="zh-CN"/>
        </w:rPr>
        <w:t xml:space="preserve">2  </w:t>
      </w:r>
      <w:r>
        <w:rPr>
          <w:rFonts w:hint="default" w:ascii="Times New Roman" w:hAnsi="Times New Roman" w:eastAsia="宋体" w:cs="Times New Roman"/>
          <w:bCs w:val="0"/>
          <w:kern w:val="0"/>
          <w:szCs w:val="24"/>
        </w:rPr>
        <w:t>安全生产</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_Toc3617 \h </w:instrText>
      </w:r>
      <w:r>
        <w:rPr>
          <w:rFonts w:hint="default" w:ascii="Times New Roman" w:hAnsi="Times New Roman" w:eastAsia="宋体" w:cs="Times New Roman"/>
        </w:rPr>
        <w:fldChar w:fldCharType="separate"/>
      </w:r>
      <w:r>
        <w:rPr>
          <w:rFonts w:hint="default" w:ascii="Times New Roman" w:hAnsi="Times New Roman" w:eastAsia="宋体" w:cs="Times New Roman"/>
        </w:rPr>
        <w:t>8</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73987FF6">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_Toc21956 </w:instrText>
      </w:r>
      <w:r>
        <w:rPr>
          <w:rFonts w:hint="default" w:ascii="Times New Roman" w:hAnsi="Times New Roman" w:eastAsia="宋体" w:cs="Times New Roman"/>
        </w:rPr>
        <w:fldChar w:fldCharType="separate"/>
      </w:r>
      <w:r>
        <w:rPr>
          <w:rFonts w:hint="default" w:ascii="Times New Roman" w:hAnsi="Times New Roman" w:eastAsia="宋体" w:cs="Times New Roman"/>
          <w:bCs w:val="0"/>
          <w:kern w:val="0"/>
          <w:szCs w:val="21"/>
        </w:rPr>
        <w:t>附录 A</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_Toc16931 </w:instrText>
      </w:r>
      <w:r>
        <w:rPr>
          <w:rFonts w:hint="default" w:ascii="Times New Roman" w:hAnsi="Times New Roman" w:eastAsia="宋体" w:cs="Times New Roman"/>
        </w:rPr>
        <w:fldChar w:fldCharType="separate"/>
      </w:r>
      <w:r>
        <w:rPr>
          <w:rFonts w:hint="default" w:ascii="Times New Roman" w:hAnsi="Times New Roman" w:eastAsia="宋体" w:cs="Times New Roman"/>
          <w:bCs w:val="0"/>
          <w:kern w:val="0"/>
          <w:szCs w:val="21"/>
        </w:rPr>
        <w:t>（资料性）</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_Toc2533 </w:instrText>
      </w:r>
      <w:r>
        <w:rPr>
          <w:rFonts w:hint="default" w:ascii="Times New Roman" w:hAnsi="Times New Roman" w:eastAsia="宋体" w:cs="Times New Roman"/>
        </w:rPr>
        <w:fldChar w:fldCharType="separate"/>
      </w:r>
      <w:r>
        <w:rPr>
          <w:rFonts w:hint="default" w:ascii="Times New Roman" w:hAnsi="Times New Roman" w:eastAsia="宋体" w:cs="Times New Roman"/>
          <w:bCs w:val="0"/>
          <w:kern w:val="0"/>
          <w:szCs w:val="21"/>
        </w:rPr>
        <w:t>化学稳定性评价</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_Toc2533 \h </w:instrText>
      </w:r>
      <w:r>
        <w:rPr>
          <w:rFonts w:hint="default" w:ascii="Times New Roman" w:hAnsi="Times New Roman" w:eastAsia="宋体" w:cs="Times New Roman"/>
        </w:rPr>
        <w:fldChar w:fldCharType="separate"/>
      </w:r>
      <w:r>
        <w:rPr>
          <w:rFonts w:hint="default" w:ascii="Times New Roman" w:hAnsi="Times New Roman" w:eastAsia="宋体" w:cs="Times New Roman"/>
        </w:rPr>
        <w:t>9</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3E3500F8">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_Toc18420 </w:instrText>
      </w:r>
      <w:r>
        <w:rPr>
          <w:rFonts w:hint="default" w:ascii="Times New Roman" w:hAnsi="Times New Roman" w:eastAsia="宋体" w:cs="Times New Roman"/>
        </w:rPr>
        <w:fldChar w:fldCharType="separate"/>
      </w:r>
      <w:r>
        <w:rPr>
          <w:rFonts w:hint="default" w:ascii="Times New Roman" w:hAnsi="Times New Roman" w:eastAsia="宋体" w:cs="Times New Roman"/>
          <w:bCs w:val="0"/>
          <w:kern w:val="0"/>
          <w:szCs w:val="21"/>
        </w:rPr>
        <w:t>附录 B</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_Toc23029 </w:instrText>
      </w:r>
      <w:r>
        <w:rPr>
          <w:rFonts w:hint="default" w:ascii="Times New Roman" w:hAnsi="Times New Roman" w:eastAsia="宋体" w:cs="Times New Roman"/>
        </w:rPr>
        <w:fldChar w:fldCharType="separate"/>
      </w:r>
      <w:r>
        <w:rPr>
          <w:rFonts w:hint="default" w:ascii="Times New Roman" w:hAnsi="Times New Roman" w:eastAsia="宋体" w:cs="Times New Roman"/>
          <w:bCs w:val="0"/>
          <w:kern w:val="0"/>
          <w:szCs w:val="21"/>
        </w:rPr>
        <w:t>（资料性）</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_Toc23250 </w:instrText>
      </w:r>
      <w:r>
        <w:rPr>
          <w:rFonts w:hint="default" w:ascii="Times New Roman" w:hAnsi="Times New Roman" w:eastAsia="宋体" w:cs="Times New Roman"/>
        </w:rPr>
        <w:fldChar w:fldCharType="separate"/>
      </w:r>
      <w:r>
        <w:rPr>
          <w:rFonts w:hint="default" w:ascii="Times New Roman" w:hAnsi="Times New Roman" w:eastAsia="宋体" w:cs="Times New Roman"/>
          <w:bCs w:val="0"/>
          <w:kern w:val="0"/>
          <w:szCs w:val="21"/>
        </w:rPr>
        <w:t>生物稳定性评价</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_Toc23250 \h </w:instrText>
      </w:r>
      <w:r>
        <w:rPr>
          <w:rFonts w:hint="default" w:ascii="Times New Roman" w:hAnsi="Times New Roman" w:eastAsia="宋体" w:cs="Times New Roman"/>
        </w:rPr>
        <w:fldChar w:fldCharType="separate"/>
      </w:r>
      <w:r>
        <w:rPr>
          <w:rFonts w:hint="default" w:ascii="Times New Roman" w:hAnsi="Times New Roman" w:eastAsia="宋体" w:cs="Times New Roman"/>
        </w:rPr>
        <w:t>10</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546B4505">
      <w:pPr>
        <w:pStyle w:val="19"/>
        <w:tabs>
          <w:tab w:val="right" w:leader="dot" w:pos="9242"/>
          <w:tab w:val="clear" w:pos="9345"/>
        </w:tabs>
        <w:rPr>
          <w:rFonts w:hint="default" w:ascii="Times New Roman" w:hAnsi="Times New Roman" w:eastAsia="宋体" w:cs="Times New Roman"/>
        </w:rPr>
      </w:pP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_Toc8525 </w:instrText>
      </w:r>
      <w:r>
        <w:rPr>
          <w:rFonts w:hint="default" w:ascii="Times New Roman" w:hAnsi="Times New Roman" w:eastAsia="宋体" w:cs="Times New Roman"/>
        </w:rPr>
        <w:fldChar w:fldCharType="separate"/>
      </w:r>
      <w:r>
        <w:rPr>
          <w:rFonts w:hint="default" w:ascii="Times New Roman" w:hAnsi="Times New Roman" w:eastAsia="宋体" w:cs="Times New Roman"/>
          <w:bCs w:val="0"/>
          <w:kern w:val="0"/>
          <w:szCs w:val="21"/>
        </w:rPr>
        <w:t>附录 C</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_Toc27033 </w:instrText>
      </w:r>
      <w:r>
        <w:rPr>
          <w:rFonts w:hint="default" w:ascii="Times New Roman" w:hAnsi="Times New Roman" w:eastAsia="宋体" w:cs="Times New Roman"/>
        </w:rPr>
        <w:fldChar w:fldCharType="separate"/>
      </w:r>
      <w:r>
        <w:rPr>
          <w:rFonts w:hint="default" w:ascii="Times New Roman" w:hAnsi="Times New Roman" w:eastAsia="宋体" w:cs="Times New Roman"/>
          <w:bCs w:val="0"/>
          <w:kern w:val="0"/>
          <w:szCs w:val="21"/>
        </w:rPr>
        <w:t>（资料性）</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_Toc6316 </w:instrText>
      </w:r>
      <w:r>
        <w:rPr>
          <w:rFonts w:hint="default" w:ascii="Times New Roman" w:hAnsi="Times New Roman" w:eastAsia="宋体" w:cs="Times New Roman"/>
        </w:rPr>
        <w:fldChar w:fldCharType="separate"/>
      </w:r>
      <w:r>
        <w:rPr>
          <w:rFonts w:hint="default" w:ascii="Times New Roman" w:hAnsi="Times New Roman" w:eastAsia="宋体" w:cs="Times New Roman"/>
          <w:bCs w:val="0"/>
          <w:kern w:val="0"/>
          <w:szCs w:val="21"/>
        </w:rPr>
        <w:t>再生水用户处理工艺</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_Toc6316 \h </w:instrText>
      </w:r>
      <w:r>
        <w:rPr>
          <w:rFonts w:hint="default" w:ascii="Times New Roman" w:hAnsi="Times New Roman" w:eastAsia="宋体" w:cs="Times New Roman"/>
        </w:rPr>
        <w:fldChar w:fldCharType="separate"/>
      </w:r>
      <w:r>
        <w:rPr>
          <w:rFonts w:hint="default" w:ascii="Times New Roman" w:hAnsi="Times New Roman" w:eastAsia="宋体" w:cs="Times New Roman"/>
        </w:rPr>
        <w:t>11</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769227A5">
      <w:pPr>
        <w:pStyle w:val="19"/>
        <w:keepNext w:val="0"/>
        <w:keepLines w:val="0"/>
        <w:pageBreakBefore w:val="0"/>
        <w:widowControl/>
        <w:kinsoku/>
        <w:wordWrap/>
        <w:overflowPunct/>
        <w:topLinePunct w:val="0"/>
        <w:autoSpaceDE/>
        <w:autoSpaceDN/>
        <w:bidi w:val="0"/>
        <w:adjustRightInd/>
        <w:snapToGrid w:val="0"/>
        <w:spacing w:line="360" w:lineRule="auto"/>
        <w:textAlignment w:val="auto"/>
        <w:rPr>
          <w:rStyle w:val="84"/>
          <w:rFonts w:hint="default" w:ascii="Times New Roman" w:hAnsi="Times New Roman" w:eastAsia="宋体" w:cs="Times New Roman"/>
        </w:rPr>
      </w:pPr>
      <w:r>
        <w:rPr>
          <w:rFonts w:hint="default" w:ascii="Times New Roman" w:hAnsi="Times New Roman" w:eastAsia="宋体" w:cs="Times New Roman"/>
        </w:rPr>
        <w:fldChar w:fldCharType="end"/>
      </w:r>
    </w:p>
    <w:p w14:paraId="65D6D5D6"/>
    <w:p w14:paraId="018F12F3"/>
    <w:p w14:paraId="4541BC5B">
      <w:pPr>
        <w:autoSpaceDE w:val="0"/>
        <w:autoSpaceDN w:val="0"/>
        <w:adjustRightInd w:val="0"/>
        <w:spacing w:line="400" w:lineRule="exact"/>
        <w:jc w:val="left"/>
        <w:rPr>
          <w:sz w:val="20"/>
          <w:szCs w:val="18"/>
        </w:rPr>
      </w:pPr>
    </w:p>
    <w:p w14:paraId="5178378B"/>
    <w:p w14:paraId="4334E7CB">
      <w:pPr>
        <w:autoSpaceDE w:val="0"/>
        <w:autoSpaceDN w:val="0"/>
        <w:adjustRightInd w:val="0"/>
        <w:spacing w:line="500" w:lineRule="exact"/>
        <w:rPr>
          <w:rStyle w:val="84"/>
          <w:rFonts w:hAnsi="宋体"/>
          <w:kern w:val="0"/>
        </w:rPr>
        <w:sectPr>
          <w:headerReference r:id="rId7" w:type="default"/>
          <w:footerReference r:id="rId8" w:type="default"/>
          <w:pgSz w:w="11907" w:h="16839"/>
          <w:pgMar w:top="1418" w:right="1247" w:bottom="1134" w:left="1418" w:header="1418" w:footer="851" w:gutter="0"/>
          <w:pgNumType w:fmt="upperRoman" w:start="1"/>
          <w:cols w:space="720" w:num="1"/>
          <w:docGrid w:type="lines" w:linePitch="312" w:charSpace="0"/>
        </w:sectPr>
      </w:pPr>
    </w:p>
    <w:bookmarkEnd w:id="1"/>
    <w:p w14:paraId="519F05A3">
      <w:pPr>
        <w:pStyle w:val="3"/>
        <w:spacing w:before="640" w:after="560" w:line="240" w:lineRule="auto"/>
        <w:jc w:val="center"/>
        <w:rPr>
          <w:rFonts w:ascii="黑体" w:eastAsia="黑体"/>
          <w:b w:val="0"/>
          <w:sz w:val="32"/>
          <w:szCs w:val="32"/>
        </w:rPr>
      </w:pPr>
      <w:bookmarkStart w:id="2" w:name="_Toc22281"/>
      <w:bookmarkStart w:id="3" w:name="SectionMark2"/>
      <w:r>
        <w:rPr>
          <w:rFonts w:hint="eastAsia" w:ascii="黑体" w:eastAsia="黑体"/>
          <w:b w:val="0"/>
          <w:sz w:val="32"/>
          <w:szCs w:val="32"/>
        </w:rPr>
        <w:t>前    言</w:t>
      </w:r>
      <w:bookmarkEnd w:id="2"/>
    </w:p>
    <w:p w14:paraId="307A47CD">
      <w:pPr>
        <w:pStyle w:val="105"/>
        <w:tabs>
          <w:tab w:val="center" w:pos="4201"/>
          <w:tab w:val="right" w:leader="dot" w:pos="9298"/>
        </w:tabs>
        <w:ind w:firstLine="420"/>
        <w:rPr>
          <w:rFonts w:hint="eastAsia" w:ascii="宋体" w:hAnsi="宋体"/>
          <w:bCs/>
          <w:szCs w:val="21"/>
        </w:rPr>
      </w:pPr>
      <w:r>
        <w:rPr>
          <w:rFonts w:hint="eastAsia" w:ascii="宋体" w:hAnsi="宋体"/>
          <w:bCs/>
          <w:szCs w:val="21"/>
        </w:rPr>
        <w:t>本文件按照GB/T 1.1</w:t>
      </w:r>
      <w:r>
        <w:rPr>
          <w:rFonts w:hint="eastAsia" w:ascii="宋体" w:hAnsi="宋体"/>
          <w:szCs w:val="21"/>
        </w:rPr>
        <w:t>—20</w:t>
      </w:r>
      <w:r>
        <w:rPr>
          <w:rFonts w:ascii="宋体" w:hAnsi="宋体"/>
          <w:szCs w:val="21"/>
        </w:rPr>
        <w:t>20</w:t>
      </w:r>
      <w:r>
        <w:rPr>
          <w:rFonts w:hint="eastAsia" w:ascii="宋体" w:hAnsi="宋体"/>
          <w:bCs/>
          <w:szCs w:val="21"/>
        </w:rPr>
        <w:t>《标准</w:t>
      </w:r>
      <w:r>
        <w:rPr>
          <w:rFonts w:ascii="宋体" w:hAnsi="宋体"/>
          <w:bCs/>
          <w:szCs w:val="21"/>
        </w:rPr>
        <w:t>化工作导则</w:t>
      </w:r>
      <w:r>
        <w:rPr>
          <w:rFonts w:hint="eastAsia" w:ascii="宋体" w:hAnsi="宋体"/>
          <w:bCs/>
          <w:szCs w:val="21"/>
        </w:rPr>
        <w:t xml:space="preserve">  第1部分</w:t>
      </w:r>
      <w:r>
        <w:rPr>
          <w:rFonts w:ascii="宋体" w:hAnsi="宋体"/>
          <w:bCs/>
          <w:szCs w:val="21"/>
        </w:rPr>
        <w:t>：标准化文件的结构和起草规则</w:t>
      </w:r>
      <w:r>
        <w:rPr>
          <w:rFonts w:hint="eastAsia" w:ascii="宋体" w:hAnsi="宋体"/>
          <w:bCs/>
          <w:szCs w:val="21"/>
        </w:rPr>
        <w:t>》的</w:t>
      </w:r>
      <w:r>
        <w:rPr>
          <w:rFonts w:ascii="宋体" w:hAnsi="宋体"/>
          <w:bCs/>
          <w:szCs w:val="21"/>
        </w:rPr>
        <w:t>规定</w:t>
      </w:r>
      <w:r>
        <w:rPr>
          <w:rFonts w:hint="eastAsia" w:ascii="宋体" w:hAnsi="宋体"/>
          <w:bCs/>
          <w:szCs w:val="21"/>
        </w:rPr>
        <w:t>起草。</w:t>
      </w:r>
    </w:p>
    <w:p w14:paraId="3449EE1E">
      <w:pPr>
        <w:pStyle w:val="105"/>
        <w:tabs>
          <w:tab w:val="center" w:pos="4201"/>
          <w:tab w:val="right" w:leader="dot" w:pos="9298"/>
        </w:tabs>
        <w:ind w:firstLine="420"/>
      </w:pPr>
      <w:r>
        <w:rPr>
          <w:rFonts w:hint="eastAsia" w:ascii="Times New Roman"/>
          <w:color w:val="000000"/>
          <w:highlight w:val="none"/>
        </w:rPr>
        <w:t>请注意</w:t>
      </w:r>
      <w:r>
        <w:rPr>
          <w:rFonts w:ascii="Times New Roman"/>
          <w:color w:val="000000"/>
          <w:highlight w:val="none"/>
        </w:rPr>
        <w:t>本</w:t>
      </w:r>
      <w:r>
        <w:rPr>
          <w:rFonts w:hint="eastAsia"/>
          <w:color w:val="000000"/>
          <w:highlight w:val="none"/>
        </w:rPr>
        <w:t>文件</w:t>
      </w:r>
      <w:r>
        <w:rPr>
          <w:rFonts w:ascii="Times New Roman"/>
          <w:color w:val="000000"/>
          <w:highlight w:val="none"/>
        </w:rPr>
        <w:t>的某些内容可能涉及专利。本文件的发布机构不承担识别专利的责任。</w:t>
      </w:r>
    </w:p>
    <w:p w14:paraId="2E959785">
      <w:pPr>
        <w:pStyle w:val="105"/>
        <w:tabs>
          <w:tab w:val="center" w:pos="4201"/>
          <w:tab w:val="right" w:leader="dot" w:pos="9298"/>
        </w:tabs>
        <w:ind w:firstLine="420"/>
        <w:rPr>
          <w:rFonts w:hint="eastAsia" w:ascii="宋体" w:hAnsi="宋体" w:eastAsia="宋体" w:cs="Times New Roman"/>
          <w:bCs/>
          <w:szCs w:val="21"/>
        </w:rPr>
      </w:pPr>
      <w:r>
        <w:rPr>
          <w:rFonts w:hint="eastAsia" w:ascii="宋体" w:hAnsi="宋体" w:eastAsia="宋体" w:cs="Times New Roman"/>
          <w:bCs/>
          <w:szCs w:val="21"/>
        </w:rPr>
        <w:t>本文件由</w:t>
      </w:r>
      <w:r>
        <w:rPr>
          <w:rFonts w:hint="eastAsia" w:ascii="Times New Roman"/>
          <w:color w:val="000000"/>
          <w:highlight w:val="none"/>
        </w:rPr>
        <w:t>河北省水利科学研究院</w:t>
      </w:r>
      <w:r>
        <w:rPr>
          <w:rFonts w:hint="eastAsia" w:ascii="宋体" w:hAnsi="宋体" w:eastAsia="宋体" w:cs="Times New Roman"/>
          <w:bCs/>
          <w:szCs w:val="21"/>
        </w:rPr>
        <w:t>提出。</w:t>
      </w:r>
    </w:p>
    <w:p w14:paraId="1EC1A5F3">
      <w:pPr>
        <w:pStyle w:val="105"/>
        <w:tabs>
          <w:tab w:val="center" w:pos="4201"/>
          <w:tab w:val="right" w:leader="dot" w:pos="9298"/>
        </w:tabs>
        <w:ind w:firstLine="420"/>
        <w:rPr>
          <w:rFonts w:hint="eastAsia" w:ascii="宋体" w:hAnsi="宋体" w:eastAsia="宋体" w:cs="Times New Roman"/>
          <w:bCs/>
          <w:szCs w:val="21"/>
          <w:lang w:eastAsia="zh-CN"/>
        </w:rPr>
      </w:pPr>
      <w:r>
        <w:rPr>
          <w:rFonts w:hint="eastAsia" w:ascii="宋体" w:hAnsi="宋体" w:eastAsia="宋体" w:cs="Times New Roman"/>
          <w:bCs/>
          <w:szCs w:val="21"/>
        </w:rPr>
        <w:t>本文件由河北省水利厅归口</w:t>
      </w:r>
      <w:r>
        <w:rPr>
          <w:rFonts w:hint="eastAsia" w:ascii="宋体" w:hAnsi="宋体" w:eastAsia="宋体" w:cs="Times New Roman"/>
          <w:bCs/>
          <w:szCs w:val="21"/>
          <w:lang w:eastAsia="zh-CN"/>
        </w:rPr>
        <w:t>。</w:t>
      </w:r>
    </w:p>
    <w:p w14:paraId="0B6D9EE6">
      <w:pPr>
        <w:pStyle w:val="105"/>
        <w:tabs>
          <w:tab w:val="center" w:pos="4201"/>
          <w:tab w:val="right" w:leader="dot" w:pos="9298"/>
        </w:tabs>
        <w:ind w:firstLine="420"/>
        <w:rPr>
          <w:rFonts w:hint="eastAsia" w:ascii="宋体" w:hAnsi="宋体" w:eastAsia="宋体" w:cs="Times New Roman"/>
          <w:bCs/>
          <w:szCs w:val="21"/>
        </w:rPr>
      </w:pPr>
      <w:r>
        <w:rPr>
          <w:rFonts w:hint="eastAsia" w:ascii="宋体" w:hAnsi="宋体" w:eastAsia="宋体" w:cs="Times New Roman"/>
          <w:bCs/>
          <w:szCs w:val="21"/>
        </w:rPr>
        <w:t>本文件起草单位：</w:t>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t>、</w:t>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p>
    <w:p w14:paraId="3EA5A31C">
      <w:pPr>
        <w:pStyle w:val="105"/>
        <w:tabs>
          <w:tab w:val="center" w:pos="4201"/>
          <w:tab w:val="right" w:leader="dot" w:pos="9298"/>
        </w:tabs>
        <w:ind w:firstLine="420"/>
        <w:rPr>
          <w:rFonts w:hint="eastAsia" w:ascii="宋体" w:hAnsi="宋体" w:eastAsia="宋体" w:cs="Times New Roman"/>
          <w:bCs/>
          <w:szCs w:val="21"/>
        </w:rPr>
      </w:pPr>
      <w:r>
        <w:rPr>
          <w:rFonts w:hint="eastAsia" w:ascii="宋体" w:hAnsi="宋体" w:eastAsia="宋体" w:cs="Times New Roman"/>
          <w:bCs/>
          <w:szCs w:val="21"/>
        </w:rPr>
        <w:t>本文件主要起草人：</w:t>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t>、</w:t>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t>、</w:t>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t>、</w:t>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t>、</w:t>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t>、</w:t>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t>、</w:t>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t>、</w:t>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t>、</w:t>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r>
        <w:rPr>
          <w:rFonts w:hint="eastAsia" w:ascii="宋体" w:hAnsi="宋体" w:eastAsia="宋体" w:cs="Times New Roman"/>
          <w:bCs/>
          <w:szCs w:val="21"/>
        </w:rPr>
        <w:sym w:font="Wingdings 2" w:char="F0CD"/>
      </w:r>
    </w:p>
    <w:p w14:paraId="4CBB6D54">
      <w:pPr>
        <w:spacing w:line="420" w:lineRule="exact"/>
        <w:ind w:firstLine="420" w:firstLineChars="200"/>
        <w:rPr>
          <w:rFonts w:ascii="宋体" w:hAnsi="宋体"/>
          <w:kern w:val="0"/>
          <w:szCs w:val="21"/>
        </w:rPr>
      </w:pPr>
      <w:r>
        <w:rPr>
          <w:rFonts w:hint="eastAsia" w:ascii="宋体" w:hAnsi="宋体"/>
          <w:kern w:val="0"/>
          <w:szCs w:val="21"/>
        </w:rPr>
        <w:t xml:space="preserve"> </w:t>
      </w:r>
    </w:p>
    <w:p w14:paraId="1B43A4A5">
      <w:pPr>
        <w:pStyle w:val="105"/>
        <w:spacing w:line="420" w:lineRule="exact"/>
        <w:ind w:firstLine="420"/>
        <w:rPr>
          <w:bCs/>
          <w:szCs w:val="21"/>
        </w:rPr>
        <w:sectPr>
          <w:pgSz w:w="11907" w:h="16839"/>
          <w:pgMar w:top="1418" w:right="1247" w:bottom="1134" w:left="1418" w:header="1418" w:footer="851" w:gutter="0"/>
          <w:pgNumType w:fmt="upperRoman"/>
          <w:cols w:space="720" w:num="1"/>
          <w:docGrid w:type="lines" w:linePitch="312" w:charSpace="0"/>
        </w:sectPr>
      </w:pPr>
    </w:p>
    <w:bookmarkEnd w:id="3"/>
    <w:p w14:paraId="19C2DA38">
      <w:pPr>
        <w:spacing w:before="360" w:after="120" w:line="440" w:lineRule="exact"/>
        <w:jc w:val="center"/>
        <w:rPr>
          <w:rFonts w:ascii="黑体" w:eastAsia="黑体"/>
          <w:sz w:val="32"/>
          <w:szCs w:val="28"/>
        </w:rPr>
      </w:pPr>
      <w:bookmarkStart w:id="4" w:name="SectionMark4"/>
      <w:r>
        <w:rPr>
          <w:rFonts w:hint="eastAsia" w:ascii="黑体" w:eastAsia="黑体"/>
          <w:sz w:val="32"/>
          <w:szCs w:val="28"/>
        </w:rPr>
        <w:t>城镇再生水利用指南 第</w:t>
      </w:r>
      <w:r>
        <w:rPr>
          <w:rFonts w:ascii="黑体" w:eastAsia="黑体"/>
          <w:sz w:val="32"/>
          <w:szCs w:val="28"/>
        </w:rPr>
        <w:t>1</w:t>
      </w:r>
      <w:r>
        <w:rPr>
          <w:rFonts w:hint="eastAsia" w:ascii="黑体" w:eastAsia="黑体"/>
          <w:sz w:val="32"/>
          <w:szCs w:val="28"/>
        </w:rPr>
        <w:t>部分</w:t>
      </w:r>
      <w:r>
        <w:rPr>
          <w:rFonts w:ascii="黑体" w:eastAsia="黑体"/>
          <w:sz w:val="32"/>
          <w:szCs w:val="28"/>
        </w:rPr>
        <w:t>：</w:t>
      </w:r>
      <w:r>
        <w:rPr>
          <w:rFonts w:hint="eastAsia" w:ascii="黑体" w:eastAsia="黑体"/>
          <w:sz w:val="32"/>
          <w:szCs w:val="28"/>
        </w:rPr>
        <w:t>工业企业</w:t>
      </w:r>
    </w:p>
    <w:p w14:paraId="33BD31EE">
      <w:pPr>
        <w:pStyle w:val="3"/>
        <w:spacing w:before="156" w:beforeLines="50" w:after="156" w:afterLines="50" w:line="460" w:lineRule="exact"/>
        <w:rPr>
          <w:rFonts w:hint="eastAsia" w:ascii="黑体" w:hAnsi="黑体" w:eastAsia="黑体" w:cs="黑体"/>
          <w:b w:val="0"/>
          <w:bCs/>
          <w:kern w:val="0"/>
          <w:sz w:val="21"/>
          <w:szCs w:val="21"/>
        </w:rPr>
      </w:pPr>
      <w:bookmarkStart w:id="5" w:name="_Toc1631"/>
      <w:bookmarkStart w:id="6" w:name="_Toc158083342"/>
      <w:r>
        <w:rPr>
          <w:rFonts w:hint="eastAsia" w:ascii="黑体" w:hAnsi="黑体" w:eastAsia="黑体" w:cs="黑体"/>
          <w:b w:val="0"/>
          <w:bCs/>
          <w:kern w:val="0"/>
          <w:sz w:val="21"/>
          <w:szCs w:val="21"/>
        </w:rPr>
        <w:t>1  范围</w:t>
      </w:r>
      <w:bookmarkEnd w:id="5"/>
      <w:bookmarkEnd w:id="6"/>
    </w:p>
    <w:p w14:paraId="7F69F286">
      <w:pPr>
        <w:spacing w:line="400" w:lineRule="exact"/>
        <w:ind w:firstLine="420" w:firstLineChars="200"/>
      </w:pPr>
      <w:bookmarkStart w:id="7" w:name="_Toc158083343"/>
      <w:r>
        <w:rPr>
          <w:rFonts w:hint="eastAsia"/>
        </w:rPr>
        <w:t>本文件规定了工业企业利用城镇再生水的总体要求、</w:t>
      </w:r>
      <w:r>
        <w:rPr>
          <w:rFonts w:hint="eastAsia"/>
          <w:lang w:val="en-US" w:eastAsia="zh-CN"/>
        </w:rPr>
        <w:t>水源要求、</w:t>
      </w:r>
      <w:r>
        <w:rPr>
          <w:rFonts w:hint="eastAsia"/>
        </w:rPr>
        <w:t>水质要求、</w:t>
      </w:r>
      <w:r>
        <w:rPr>
          <w:rFonts w:hint="eastAsia"/>
          <w:lang w:val="en-US" w:eastAsia="zh-CN"/>
        </w:rPr>
        <w:t>污水收集、</w:t>
      </w:r>
      <w:r>
        <w:rPr>
          <w:rFonts w:hint="eastAsia"/>
        </w:rPr>
        <w:t>处理工艺</w:t>
      </w:r>
      <w:r>
        <w:rPr>
          <w:rFonts w:hint="eastAsia"/>
          <w:lang w:val="en-US" w:eastAsia="zh-CN"/>
        </w:rPr>
        <w:t>和</w:t>
      </w:r>
      <w:r>
        <w:rPr>
          <w:rFonts w:hint="eastAsia"/>
        </w:rPr>
        <w:t>安全保障措施，以及输配管网、监测与管理、安全生产等相关要求。</w:t>
      </w:r>
    </w:p>
    <w:p w14:paraId="644E214C">
      <w:pPr>
        <w:spacing w:line="400" w:lineRule="exact"/>
        <w:ind w:firstLine="420" w:firstLineChars="200"/>
      </w:pPr>
      <w:r>
        <w:rPr>
          <w:rFonts w:hint="eastAsia"/>
        </w:rPr>
        <w:t>本文件</w:t>
      </w:r>
      <w:r>
        <w:t>适用于</w:t>
      </w:r>
      <w:r>
        <w:rPr>
          <w:rFonts w:hint="eastAsia"/>
        </w:rPr>
        <w:t>工业企业的城镇再生水利用。</w:t>
      </w:r>
    </w:p>
    <w:p w14:paraId="2878189E">
      <w:pPr>
        <w:pStyle w:val="3"/>
        <w:spacing w:before="156" w:beforeLines="50" w:after="156" w:afterLines="50" w:line="460" w:lineRule="exact"/>
        <w:rPr>
          <w:rFonts w:hint="eastAsia" w:ascii="黑体" w:hAnsi="黑体" w:eastAsia="黑体" w:cs="黑体"/>
          <w:b w:val="0"/>
          <w:bCs/>
          <w:kern w:val="0"/>
          <w:sz w:val="21"/>
          <w:szCs w:val="21"/>
        </w:rPr>
      </w:pPr>
      <w:bookmarkStart w:id="8" w:name="_Toc6046"/>
      <w:r>
        <w:rPr>
          <w:rFonts w:hint="eastAsia" w:ascii="黑体" w:hAnsi="黑体" w:eastAsia="黑体" w:cs="黑体"/>
          <w:b w:val="0"/>
          <w:bCs/>
          <w:kern w:val="0"/>
          <w:sz w:val="21"/>
          <w:szCs w:val="21"/>
        </w:rPr>
        <w:t>2  规范性引用文件</w:t>
      </w:r>
      <w:bookmarkEnd w:id="7"/>
      <w:bookmarkEnd w:id="8"/>
    </w:p>
    <w:p w14:paraId="4EBC264E">
      <w:pPr>
        <w:spacing w:line="400" w:lineRule="exact"/>
        <w:ind w:firstLine="420" w:firstLineChars="200"/>
      </w:pPr>
      <w:r>
        <w:rPr>
          <w:rFonts w:hint="eastAsia"/>
          <w:szCs w:val="21"/>
        </w:rPr>
        <w:t>下列文件中</w:t>
      </w:r>
      <w:r>
        <w:rPr>
          <w:szCs w:val="21"/>
        </w:rPr>
        <w:t>的内容通过文中的规范性引用而构成本文件必不可少的条款。其中</w:t>
      </w:r>
      <w:r>
        <w:rPr>
          <w:rFonts w:hint="eastAsia"/>
          <w:szCs w:val="21"/>
        </w:rPr>
        <w:t>，</w:t>
      </w:r>
      <w:r>
        <w:rPr>
          <w:szCs w:val="21"/>
        </w:rPr>
        <w:t>注日期的引用文件，仅</w:t>
      </w:r>
      <w:r>
        <w:rPr>
          <w:rFonts w:hint="eastAsia"/>
          <w:szCs w:val="21"/>
        </w:rPr>
        <w:t>该日期对应的版本适用于本文件</w:t>
      </w:r>
      <w:r>
        <w:rPr>
          <w:szCs w:val="21"/>
        </w:rPr>
        <w:t>；</w:t>
      </w:r>
      <w:r>
        <w:rPr>
          <w:rFonts w:hint="eastAsia"/>
          <w:szCs w:val="21"/>
        </w:rPr>
        <w:t>不注日期的引用文件，其最新版本（包括所有的修改单）适用于本文件。</w:t>
      </w:r>
    </w:p>
    <w:p w14:paraId="1F7214AD">
      <w:pPr>
        <w:spacing w:line="400" w:lineRule="exact"/>
        <w:ind w:firstLine="420" w:firstLineChars="200"/>
        <w:rPr>
          <w:rFonts w:hint="eastAsia" w:ascii="宋体" w:hAnsi="宋体" w:eastAsia="宋体" w:cs="宋体"/>
          <w:color w:val="auto"/>
        </w:rPr>
      </w:pPr>
      <w:bookmarkStart w:id="9" w:name="_Hlk127799547"/>
      <w:r>
        <w:rPr>
          <w:rFonts w:hint="eastAsia" w:ascii="宋体" w:hAnsi="宋体" w:eastAsia="宋体" w:cs="宋体"/>
          <w:color w:val="auto"/>
        </w:rPr>
        <w:t>GB/T 12145  火力发电机组及蒸汽动力设备水汽质量</w:t>
      </w:r>
    </w:p>
    <w:p w14:paraId="6F6C6010">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 xml:space="preserve">GB/T 18919  城市污水再生利用 分类 </w:t>
      </w:r>
    </w:p>
    <w:p w14:paraId="45BA6DD7">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GB/T 18920  城市污水再生利用 城市杂用水水质</w:t>
      </w:r>
    </w:p>
    <w:p w14:paraId="16E226AF">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GB/T 19923  城市污水再生利用 工业用水水质</w:t>
      </w:r>
    </w:p>
    <w:p w14:paraId="227D7771">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 xml:space="preserve">GB/T 21534  节约用水 术语 </w:t>
      </w:r>
    </w:p>
    <w:p w14:paraId="0032675C">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GB/T 31962  污水排入城镇下水道水质标准</w:t>
      </w:r>
    </w:p>
    <w:p w14:paraId="6D11377E">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GB 50013  室外给水设计规范</w:t>
      </w:r>
    </w:p>
    <w:p w14:paraId="079E632D">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GB/T 50050  工业循环冷却水处理设计规范</w:t>
      </w:r>
    </w:p>
    <w:p w14:paraId="52C09E4E">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GB/T 50109  工业用水软化除盐设计规范</w:t>
      </w:r>
    </w:p>
    <w:p w14:paraId="51B16222">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GB 50335  城镇污水再生利用工程设计规范</w:t>
      </w:r>
    </w:p>
    <w:p w14:paraId="16B28C4F">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DL 5068  发电厂化学设计规范</w:t>
      </w:r>
    </w:p>
    <w:bookmarkEnd w:id="9"/>
    <w:p w14:paraId="62128CB8">
      <w:pPr>
        <w:pStyle w:val="3"/>
        <w:spacing w:before="156" w:beforeLines="50" w:after="156" w:afterLines="50" w:line="460" w:lineRule="exact"/>
        <w:rPr>
          <w:rFonts w:hint="eastAsia" w:ascii="黑体" w:hAnsi="黑体" w:eastAsia="黑体" w:cs="黑体"/>
          <w:b w:val="0"/>
          <w:bCs/>
          <w:kern w:val="0"/>
          <w:sz w:val="21"/>
          <w:szCs w:val="21"/>
        </w:rPr>
      </w:pPr>
      <w:bookmarkStart w:id="10" w:name="_Toc14285"/>
      <w:r>
        <w:rPr>
          <w:rFonts w:hint="eastAsia" w:ascii="黑体" w:hAnsi="黑体" w:eastAsia="黑体" w:cs="黑体"/>
          <w:b w:val="0"/>
          <w:bCs/>
          <w:kern w:val="0"/>
          <w:sz w:val="21"/>
          <w:szCs w:val="21"/>
        </w:rPr>
        <w:t>3  术语和定义</w:t>
      </w:r>
      <w:bookmarkEnd w:id="10"/>
    </w:p>
    <w:p w14:paraId="62463DB0">
      <w:pPr>
        <w:spacing w:line="400" w:lineRule="exact"/>
        <w:ind w:left="360"/>
        <w:rPr>
          <w:rFonts w:ascii="宋体" w:hAnsi="宋体"/>
        </w:rPr>
      </w:pPr>
      <w:r>
        <w:rPr>
          <w:rFonts w:hint="eastAsia" w:ascii="宋体" w:hAnsi="宋体"/>
        </w:rPr>
        <w:t>GB</w:t>
      </w:r>
      <w:r>
        <w:rPr>
          <w:rFonts w:ascii="宋体" w:hAnsi="宋体"/>
        </w:rPr>
        <w:t>/T 21534</w:t>
      </w:r>
      <w:r>
        <w:rPr>
          <w:rFonts w:hint="eastAsia" w:ascii="宋体" w:hAnsi="宋体"/>
        </w:rPr>
        <w:t>和G</w:t>
      </w:r>
      <w:r>
        <w:rPr>
          <w:rFonts w:ascii="宋体" w:hAnsi="宋体"/>
        </w:rPr>
        <w:t>B/T 18919</w:t>
      </w:r>
      <w:r>
        <w:rPr>
          <w:rFonts w:hint="eastAsia" w:ascii="宋体" w:hAnsi="宋体"/>
        </w:rPr>
        <w:t>界定</w:t>
      </w:r>
      <w:r>
        <w:rPr>
          <w:rFonts w:ascii="宋体" w:hAnsi="宋体"/>
        </w:rPr>
        <w:t>的</w:t>
      </w:r>
      <w:r>
        <w:rPr>
          <w:rFonts w:hint="eastAsia" w:ascii="宋体" w:hAnsi="宋体"/>
        </w:rPr>
        <w:t>以及下列术语和定义适用于本文件。</w:t>
      </w:r>
    </w:p>
    <w:p w14:paraId="6F7FA64A">
      <w:pPr>
        <w:autoSpaceDE w:val="0"/>
        <w:autoSpaceDN w:val="0"/>
        <w:adjustRightInd w:val="0"/>
        <w:spacing w:line="400" w:lineRule="exact"/>
        <w:jc w:val="left"/>
        <w:rPr>
          <w:rFonts w:ascii="黑体" w:eastAsia="黑体"/>
          <w:b w:val="0"/>
          <w:bCs w:val="0"/>
        </w:rPr>
      </w:pPr>
      <w:r>
        <w:rPr>
          <w:rFonts w:ascii="黑体" w:eastAsia="黑体"/>
          <w:b w:val="0"/>
          <w:bCs w:val="0"/>
        </w:rPr>
        <w:t>3.1</w:t>
      </w:r>
    </w:p>
    <w:p w14:paraId="3DFC8D3E">
      <w:pPr>
        <w:autoSpaceDE w:val="0"/>
        <w:autoSpaceDN w:val="0"/>
        <w:adjustRightInd w:val="0"/>
        <w:spacing w:line="400" w:lineRule="exact"/>
        <w:ind w:firstLine="420" w:firstLineChars="200"/>
        <w:jc w:val="left"/>
        <w:rPr>
          <w:rFonts w:eastAsia="黑体"/>
        </w:rPr>
      </w:pPr>
      <w:r>
        <w:rPr>
          <w:rFonts w:hint="eastAsia" w:eastAsia="黑体"/>
          <w:b w:val="0"/>
          <w:bCs w:val="0"/>
        </w:rPr>
        <w:t xml:space="preserve">再生水 </w:t>
      </w:r>
      <w:r>
        <w:rPr>
          <w:rFonts w:eastAsia="黑体"/>
          <w:b/>
          <w:bCs/>
        </w:rPr>
        <w:t xml:space="preserve"> </w:t>
      </w:r>
      <w:r>
        <w:rPr>
          <w:rFonts w:eastAsia="黑体"/>
        </w:rPr>
        <w:t>reclaimed water</w:t>
      </w:r>
    </w:p>
    <w:p w14:paraId="141FA845">
      <w:pPr>
        <w:autoSpaceDE w:val="0"/>
        <w:autoSpaceDN w:val="0"/>
        <w:adjustRightInd w:val="0"/>
        <w:spacing w:line="400" w:lineRule="exact"/>
        <w:ind w:firstLine="420" w:firstLineChars="200"/>
        <w:jc w:val="left"/>
      </w:pPr>
      <w:r>
        <w:rPr>
          <w:rFonts w:hint="eastAsia"/>
        </w:rPr>
        <w:t>经过处理后，满足某种用途的水质标准和要求，可以再次利用的污（废）水。</w:t>
      </w:r>
    </w:p>
    <w:p w14:paraId="6CDC7CC5">
      <w:pPr>
        <w:autoSpaceDE w:val="0"/>
        <w:autoSpaceDN w:val="0"/>
        <w:adjustRightInd w:val="0"/>
        <w:spacing w:line="400" w:lineRule="exact"/>
        <w:jc w:val="left"/>
        <w:rPr>
          <w:rFonts w:ascii="黑体" w:eastAsia="黑体"/>
          <w:b w:val="0"/>
          <w:bCs w:val="0"/>
        </w:rPr>
      </w:pPr>
      <w:r>
        <w:rPr>
          <w:rFonts w:ascii="黑体" w:eastAsia="黑体"/>
          <w:b w:val="0"/>
          <w:bCs w:val="0"/>
        </w:rPr>
        <w:t>3.2</w:t>
      </w:r>
    </w:p>
    <w:p w14:paraId="50E673A4">
      <w:pPr>
        <w:autoSpaceDE w:val="0"/>
        <w:autoSpaceDN w:val="0"/>
        <w:adjustRightInd w:val="0"/>
        <w:spacing w:line="400" w:lineRule="exact"/>
        <w:ind w:firstLine="420" w:firstLineChars="200"/>
        <w:jc w:val="left"/>
        <w:rPr>
          <w:rFonts w:eastAsia="黑体"/>
        </w:rPr>
      </w:pPr>
      <w:r>
        <w:rPr>
          <w:rFonts w:hint="eastAsia" w:eastAsia="黑体"/>
          <w:b w:val="0"/>
          <w:bCs w:val="0"/>
        </w:rPr>
        <w:t>再生水工业利用</w:t>
      </w:r>
      <w:r>
        <w:rPr>
          <w:rFonts w:hint="eastAsia" w:eastAsia="黑体"/>
          <w:b/>
          <w:bCs/>
        </w:rPr>
        <w:t xml:space="preserve"> </w:t>
      </w:r>
      <w:r>
        <w:rPr>
          <w:rFonts w:eastAsia="黑体"/>
          <w:b/>
          <w:bCs/>
        </w:rPr>
        <w:t xml:space="preserve"> </w:t>
      </w:r>
      <w:r>
        <w:rPr>
          <w:rFonts w:hint="eastAsia" w:eastAsia="黑体"/>
        </w:rPr>
        <w:t>in</w:t>
      </w:r>
      <w:r>
        <w:rPr>
          <w:rFonts w:eastAsia="黑体"/>
        </w:rPr>
        <w:t>dustrial use of reclaimed water</w:t>
      </w:r>
    </w:p>
    <w:p w14:paraId="36AEDE72">
      <w:pPr>
        <w:autoSpaceDE w:val="0"/>
        <w:autoSpaceDN w:val="0"/>
        <w:adjustRightInd w:val="0"/>
        <w:spacing w:line="400" w:lineRule="exact"/>
        <w:ind w:firstLine="420" w:firstLineChars="200"/>
        <w:jc w:val="left"/>
      </w:pPr>
      <w:r>
        <w:rPr>
          <w:rFonts w:hint="eastAsia"/>
        </w:rPr>
        <w:t>将再生水直接或处理后用于工业的行为。</w:t>
      </w:r>
    </w:p>
    <w:p w14:paraId="4379F01A">
      <w:pPr>
        <w:pStyle w:val="3"/>
        <w:spacing w:before="156" w:beforeLines="50" w:after="156" w:afterLines="50" w:line="460" w:lineRule="exact"/>
        <w:rPr>
          <w:rFonts w:hint="eastAsia" w:ascii="黑体" w:hAnsi="黑体" w:eastAsia="黑体" w:cs="黑体"/>
          <w:b w:val="0"/>
          <w:bCs/>
          <w:kern w:val="0"/>
          <w:sz w:val="21"/>
          <w:szCs w:val="21"/>
        </w:rPr>
      </w:pPr>
      <w:bookmarkStart w:id="11" w:name="_Toc1639"/>
      <w:r>
        <w:rPr>
          <w:rFonts w:hint="eastAsia" w:ascii="黑体" w:hAnsi="黑体" w:eastAsia="黑体" w:cs="黑体"/>
          <w:b w:val="0"/>
          <w:bCs/>
          <w:kern w:val="0"/>
          <w:sz w:val="21"/>
          <w:szCs w:val="21"/>
        </w:rPr>
        <w:t>4  总体要求</w:t>
      </w:r>
      <w:bookmarkEnd w:id="11"/>
    </w:p>
    <w:p w14:paraId="73DC8EF4">
      <w:pPr>
        <w:autoSpaceDE w:val="0"/>
        <w:autoSpaceDN w:val="0"/>
        <w:adjustRightInd w:val="0"/>
        <w:spacing w:line="400" w:lineRule="exact"/>
        <w:jc w:val="left"/>
      </w:pPr>
      <w:r>
        <w:rPr>
          <w:rFonts w:ascii="黑体" w:eastAsia="黑体"/>
          <w:b w:val="0"/>
          <w:bCs w:val="0"/>
        </w:rPr>
        <w:t>4</w:t>
      </w:r>
      <w:r>
        <w:rPr>
          <w:rFonts w:hint="eastAsia" w:ascii="黑体" w:eastAsia="黑体"/>
          <w:b w:val="0"/>
          <w:bCs w:val="0"/>
        </w:rPr>
        <w:t>.1</w:t>
      </w:r>
      <w:r>
        <w:rPr>
          <w:rFonts w:hint="eastAsia" w:ascii="黑体" w:eastAsia="黑体"/>
          <w:b w:val="0"/>
          <w:bCs w:val="0"/>
          <w:lang w:val="en-US" w:eastAsia="zh-CN"/>
        </w:rPr>
        <w:t xml:space="preserve">  </w:t>
      </w:r>
      <w:r>
        <w:rPr>
          <w:rFonts w:hint="eastAsia"/>
        </w:rPr>
        <w:t>工业企业应优先利用再生水。</w:t>
      </w:r>
    </w:p>
    <w:p w14:paraId="10FF1C08">
      <w:pPr>
        <w:autoSpaceDE w:val="0"/>
        <w:autoSpaceDN w:val="0"/>
        <w:adjustRightInd w:val="0"/>
        <w:spacing w:line="400" w:lineRule="exact"/>
        <w:jc w:val="left"/>
        <w:rPr>
          <w:rFonts w:ascii="Times New Roman" w:hAnsi="Times New Roman" w:eastAsia="宋体" w:cs="Times New Roman"/>
          <w:lang w:val="en-US" w:eastAsia="zh-CN"/>
        </w:rPr>
      </w:pPr>
      <w:r>
        <w:rPr>
          <w:rFonts w:ascii="黑体" w:eastAsia="黑体"/>
          <w:b w:val="0"/>
          <w:bCs w:val="0"/>
        </w:rPr>
        <w:t>4</w:t>
      </w:r>
      <w:r>
        <w:rPr>
          <w:rFonts w:hint="eastAsia" w:ascii="黑体" w:eastAsia="黑体"/>
          <w:b w:val="0"/>
          <w:bCs w:val="0"/>
        </w:rPr>
        <w:t>.</w:t>
      </w:r>
      <w:r>
        <w:rPr>
          <w:rFonts w:ascii="黑体" w:eastAsia="黑体"/>
          <w:b w:val="0"/>
          <w:bCs w:val="0"/>
        </w:rPr>
        <w:t>2</w:t>
      </w:r>
      <w:r>
        <w:rPr>
          <w:rFonts w:hint="eastAsia" w:ascii="黑体" w:eastAsia="黑体"/>
          <w:b w:val="0"/>
          <w:bCs w:val="0"/>
          <w:lang w:val="en-US" w:eastAsia="zh-CN"/>
        </w:rPr>
        <w:t xml:space="preserve">  </w:t>
      </w:r>
      <w:r>
        <w:rPr>
          <w:rFonts w:hint="eastAsia" w:ascii="Times New Roman" w:hAnsi="Times New Roman" w:eastAsia="宋体" w:cs="Times New Roman"/>
        </w:rPr>
        <w:t>新建、改建、扩建工业企业集聚的各类开发区、园区等</w:t>
      </w:r>
      <w:r>
        <w:rPr>
          <w:rFonts w:hint="eastAsia" w:ascii="Times New Roman" w:hAnsi="Times New Roman" w:eastAsia="宋体" w:cs="Times New Roman"/>
          <w:lang w:eastAsia="zh-CN"/>
        </w:rPr>
        <w:t>，</w:t>
      </w:r>
      <w:r>
        <w:rPr>
          <w:rFonts w:hint="eastAsia" w:ascii="Times New Roman" w:hAnsi="Times New Roman" w:eastAsia="宋体" w:cs="Times New Roman"/>
        </w:rPr>
        <w:t>应当统筹</w:t>
      </w:r>
      <w:r>
        <w:rPr>
          <w:rFonts w:hint="eastAsia" w:ascii="Times New Roman" w:hAnsi="Times New Roman" w:eastAsia="宋体" w:cs="Times New Roman"/>
          <w:lang w:val="en-US" w:eastAsia="zh-CN"/>
        </w:rPr>
        <w:t>区内外再生水水源，规划和</w:t>
      </w:r>
      <w:r>
        <w:rPr>
          <w:rFonts w:hint="eastAsia" w:ascii="Times New Roman" w:hAnsi="Times New Roman" w:eastAsia="宋体" w:cs="Times New Roman"/>
        </w:rPr>
        <w:t>建设</w:t>
      </w:r>
      <w:r>
        <w:rPr>
          <w:rFonts w:hint="eastAsia" w:ascii="Times New Roman" w:hAnsi="Times New Roman" w:eastAsia="宋体" w:cs="Times New Roman"/>
          <w:lang w:val="en-US" w:eastAsia="zh-CN"/>
        </w:rPr>
        <w:t>再生水</w:t>
      </w:r>
      <w:r>
        <w:rPr>
          <w:rFonts w:hint="eastAsia" w:ascii="Times New Roman" w:hAnsi="Times New Roman" w:eastAsia="宋体" w:cs="Times New Roman"/>
        </w:rPr>
        <w:t>供水、排水、废水处理</w:t>
      </w:r>
      <w:r>
        <w:rPr>
          <w:rFonts w:hint="eastAsia" w:ascii="Times New Roman" w:hAnsi="Times New Roman" w:eastAsia="宋体" w:cs="Times New Roman"/>
          <w:lang w:val="en-US" w:eastAsia="zh-CN"/>
        </w:rPr>
        <w:t>及循环利用设施，推动企业间串联用水、分质用水，实现一水多用和循环利用。</w:t>
      </w:r>
    </w:p>
    <w:p w14:paraId="582C785E">
      <w:pPr>
        <w:autoSpaceDE w:val="0"/>
        <w:autoSpaceDN w:val="0"/>
        <w:adjustRightInd w:val="0"/>
        <w:spacing w:line="400" w:lineRule="exact"/>
        <w:jc w:val="left"/>
      </w:pPr>
      <w:r>
        <w:rPr>
          <w:rFonts w:ascii="黑体" w:eastAsia="黑体"/>
          <w:b w:val="0"/>
          <w:bCs w:val="0"/>
        </w:rPr>
        <w:t>4</w:t>
      </w:r>
      <w:r>
        <w:rPr>
          <w:rFonts w:hint="eastAsia" w:ascii="黑体" w:eastAsia="黑体"/>
          <w:b w:val="0"/>
          <w:bCs w:val="0"/>
        </w:rPr>
        <w:t>.</w:t>
      </w:r>
      <w:r>
        <w:rPr>
          <w:rFonts w:ascii="黑体" w:eastAsia="黑体"/>
          <w:b w:val="0"/>
          <w:bCs w:val="0"/>
        </w:rPr>
        <w:t>3</w:t>
      </w:r>
      <w:r>
        <w:rPr>
          <w:rFonts w:hint="eastAsia" w:ascii="黑体" w:eastAsia="黑体"/>
          <w:b w:val="0"/>
          <w:bCs w:val="0"/>
          <w:lang w:val="en-US" w:eastAsia="zh-CN"/>
        </w:rPr>
        <w:t xml:space="preserve">  </w:t>
      </w:r>
      <w:r>
        <w:rPr>
          <w:rFonts w:hint="eastAsia"/>
        </w:rPr>
        <w:t>工业企业</w:t>
      </w:r>
      <w:r>
        <w:t>再生水</w:t>
      </w:r>
      <w:r>
        <w:rPr>
          <w:rFonts w:hint="eastAsia"/>
        </w:rPr>
        <w:t>利用</w:t>
      </w:r>
      <w:r>
        <w:t>途径包括冷却用水、洗涤用水、锅炉</w:t>
      </w:r>
      <w:r>
        <w:rPr>
          <w:rFonts w:hint="eastAsia"/>
          <w:lang w:val="en-US" w:eastAsia="zh-CN"/>
        </w:rPr>
        <w:t>与供热管网</w:t>
      </w:r>
      <w:r>
        <w:rPr>
          <w:rFonts w:hint="eastAsia"/>
        </w:rPr>
        <w:t>补</w:t>
      </w:r>
      <w:r>
        <w:t>水、工艺用水</w:t>
      </w:r>
      <w:r>
        <w:rPr>
          <w:rFonts w:hint="eastAsia"/>
          <w:lang w:eastAsia="zh-CN"/>
        </w:rPr>
        <w:t>、</w:t>
      </w:r>
      <w:r>
        <w:rPr>
          <w:rFonts w:hint="eastAsia"/>
          <w:lang w:val="en-US" w:eastAsia="zh-CN"/>
        </w:rPr>
        <w:t>产品用水</w:t>
      </w:r>
      <w:r>
        <w:t>等。不应直接用于食品、医药等与人体直接接触的产品。</w:t>
      </w:r>
    </w:p>
    <w:p w14:paraId="5B791879">
      <w:pPr>
        <w:autoSpaceDE w:val="0"/>
        <w:autoSpaceDN w:val="0"/>
        <w:adjustRightInd w:val="0"/>
        <w:spacing w:line="400" w:lineRule="exact"/>
        <w:jc w:val="left"/>
        <w:rPr>
          <w:rFonts w:hint="eastAsia" w:ascii="黑体" w:eastAsia="黑体"/>
          <w:b/>
          <w:bCs/>
        </w:rPr>
      </w:pPr>
      <w:r>
        <w:rPr>
          <w:rFonts w:ascii="黑体" w:eastAsia="黑体"/>
          <w:b w:val="0"/>
          <w:bCs w:val="0"/>
        </w:rPr>
        <w:t>4.4</w:t>
      </w:r>
      <w:r>
        <w:rPr>
          <w:rFonts w:hint="eastAsia" w:ascii="黑体" w:eastAsia="黑体"/>
          <w:b w:val="0"/>
          <w:bCs w:val="0"/>
          <w:lang w:val="en-US" w:eastAsia="zh-CN"/>
        </w:rPr>
        <w:t xml:space="preserve">  </w:t>
      </w:r>
      <w:r>
        <w:rPr>
          <w:rFonts w:hint="default"/>
          <w:lang w:val="en-US" w:eastAsia="zh-CN"/>
        </w:rPr>
        <w:t xml:space="preserve">再生水水源的水量、水质应满足再生水生产与供给的可靠性、稳定性和安全性要求，且不应对后续再生利用过程产生危害。 </w:t>
      </w:r>
    </w:p>
    <w:p w14:paraId="50EDCDC3">
      <w:pPr>
        <w:autoSpaceDE w:val="0"/>
        <w:autoSpaceDN w:val="0"/>
        <w:adjustRightInd w:val="0"/>
        <w:spacing w:line="400" w:lineRule="exact"/>
        <w:jc w:val="left"/>
      </w:pPr>
      <w:r>
        <w:rPr>
          <w:rFonts w:ascii="黑体" w:eastAsia="黑体"/>
          <w:b w:val="0"/>
          <w:bCs w:val="0"/>
        </w:rPr>
        <w:t>4.</w:t>
      </w:r>
      <w:r>
        <w:rPr>
          <w:rFonts w:hint="eastAsia" w:ascii="黑体" w:eastAsia="黑体"/>
          <w:b w:val="0"/>
          <w:bCs w:val="0"/>
          <w:lang w:val="en-US" w:eastAsia="zh-CN"/>
        </w:rPr>
        <w:t xml:space="preserve">5  </w:t>
      </w:r>
      <w:r>
        <w:t>再生水工业利用时，根据</w:t>
      </w:r>
      <w:r>
        <w:rPr>
          <w:rFonts w:hint="eastAsia" w:ascii="宋体" w:hAnsi="宋体" w:eastAsia="宋体" w:cs="宋体"/>
        </w:rPr>
        <w:t xml:space="preserve"> GB/T 19923</w:t>
      </w:r>
      <w:r>
        <w:t>、不同工业利用途径的相关标准、再生水水质特点和试验研究等确定水质要求。再生水</w:t>
      </w:r>
      <w:r>
        <w:rPr>
          <w:rFonts w:hint="eastAsia"/>
        </w:rPr>
        <w:t>水质</w:t>
      </w:r>
      <w:r>
        <w:t>不满足工业利用要求时，工业</w:t>
      </w:r>
      <w:r>
        <w:rPr>
          <w:rFonts w:hint="eastAsia"/>
        </w:rPr>
        <w:t>企业</w:t>
      </w:r>
      <w:r>
        <w:t>应对再生水进行深度处理。</w:t>
      </w:r>
    </w:p>
    <w:p w14:paraId="20058AAC">
      <w:pPr>
        <w:autoSpaceDE w:val="0"/>
        <w:autoSpaceDN w:val="0"/>
        <w:adjustRightInd w:val="0"/>
        <w:spacing w:line="400" w:lineRule="exact"/>
        <w:jc w:val="left"/>
      </w:pPr>
      <w:r>
        <w:rPr>
          <w:rFonts w:ascii="黑体" w:eastAsia="黑体"/>
          <w:b w:val="0"/>
          <w:bCs w:val="0"/>
        </w:rPr>
        <w:t>4.</w:t>
      </w:r>
      <w:r>
        <w:rPr>
          <w:rFonts w:hint="eastAsia" w:ascii="黑体" w:eastAsia="黑体"/>
          <w:b w:val="0"/>
          <w:bCs w:val="0"/>
          <w:lang w:val="en-US" w:eastAsia="zh-CN"/>
        </w:rPr>
        <w:t>6</w:t>
      </w:r>
      <w:r>
        <w:rPr>
          <w:rFonts w:ascii="黑体" w:eastAsia="黑体"/>
          <w:b w:val="0"/>
          <w:bCs w:val="0"/>
        </w:rPr>
        <w:t xml:space="preserve">  </w:t>
      </w:r>
      <w:r>
        <w:t>工业</w:t>
      </w:r>
      <w:r>
        <w:rPr>
          <w:rFonts w:hint="eastAsia"/>
        </w:rPr>
        <w:t>企业</w:t>
      </w:r>
      <w:r>
        <w:t>将再生水用于绿化、道路清扫、洗车、冲厕等厂内和企业内非工业利用途径时， 应确认水质满足</w:t>
      </w:r>
      <w:r>
        <w:rPr>
          <w:rFonts w:hint="eastAsia" w:ascii="宋体" w:hAnsi="宋体" w:eastAsia="宋体" w:cs="宋体"/>
        </w:rPr>
        <w:t xml:space="preserve"> GB/T 18920 </w:t>
      </w:r>
      <w:r>
        <w:t xml:space="preserve">等相关标准的要求并采取必要的管理措施，确保用水安全。 </w:t>
      </w:r>
    </w:p>
    <w:p w14:paraId="3F2FFA61">
      <w:pPr>
        <w:autoSpaceDE w:val="0"/>
        <w:autoSpaceDN w:val="0"/>
        <w:adjustRightInd w:val="0"/>
        <w:spacing w:line="400" w:lineRule="exact"/>
        <w:jc w:val="left"/>
      </w:pPr>
      <w:r>
        <w:rPr>
          <w:rFonts w:ascii="黑体" w:eastAsia="黑体"/>
          <w:b w:val="0"/>
          <w:bCs w:val="0"/>
        </w:rPr>
        <w:t>4.</w:t>
      </w:r>
      <w:r>
        <w:rPr>
          <w:rFonts w:hint="eastAsia" w:ascii="黑体" w:eastAsia="黑体"/>
          <w:b w:val="0"/>
          <w:bCs w:val="0"/>
          <w:lang w:val="en-US" w:eastAsia="zh-CN"/>
        </w:rPr>
        <w:t xml:space="preserve">7  </w:t>
      </w:r>
      <w:r>
        <w:t>工业</w:t>
      </w:r>
      <w:r>
        <w:rPr>
          <w:rFonts w:hint="eastAsia"/>
        </w:rPr>
        <w:t>企业</w:t>
      </w:r>
      <w:r>
        <w:t>应建立完善的再生水水量水质监测系统，包括进水</w:t>
      </w:r>
      <w:r>
        <w:rPr>
          <w:rFonts w:hint="eastAsia"/>
        </w:rPr>
        <w:t>系统</w:t>
      </w:r>
      <w:r>
        <w:t xml:space="preserve">、处理系统、用水系统和排水系统等。 </w:t>
      </w:r>
    </w:p>
    <w:p w14:paraId="72E02883">
      <w:pPr>
        <w:autoSpaceDE w:val="0"/>
        <w:autoSpaceDN w:val="0"/>
        <w:adjustRightInd w:val="0"/>
        <w:spacing w:line="400" w:lineRule="exact"/>
        <w:jc w:val="left"/>
      </w:pPr>
      <w:r>
        <w:rPr>
          <w:rFonts w:ascii="黑体" w:eastAsia="黑体"/>
          <w:b w:val="0"/>
          <w:bCs w:val="0"/>
        </w:rPr>
        <w:t>4.</w:t>
      </w:r>
      <w:r>
        <w:rPr>
          <w:rFonts w:hint="eastAsia" w:ascii="黑体" w:eastAsia="黑体"/>
          <w:b w:val="0"/>
          <w:bCs w:val="0"/>
          <w:lang w:val="en-US" w:eastAsia="zh-CN"/>
        </w:rPr>
        <w:t>8</w:t>
      </w:r>
      <w:r>
        <w:rPr>
          <w:rFonts w:ascii="黑体" w:eastAsia="黑体"/>
          <w:b w:val="0"/>
          <w:bCs w:val="0"/>
        </w:rPr>
        <w:t xml:space="preserve"> </w:t>
      </w:r>
      <w:r>
        <w:rPr>
          <w:rFonts w:ascii="黑体" w:eastAsia="黑体"/>
          <w:b/>
          <w:bCs/>
        </w:rPr>
        <w:t xml:space="preserve"> </w:t>
      </w:r>
      <w:r>
        <w:t>再生水工业利用过程中产生的污泥、浓缩液和废液等，应根据相关要求进行处理处置。</w:t>
      </w:r>
    </w:p>
    <w:p w14:paraId="7FA38C31">
      <w:pPr>
        <w:pStyle w:val="3"/>
        <w:spacing w:before="156" w:beforeLines="50" w:after="156" w:afterLines="50" w:line="460" w:lineRule="exact"/>
        <w:rPr>
          <w:rFonts w:hint="eastAsia" w:ascii="黑体" w:hAnsi="黑体" w:eastAsia="黑体" w:cs="黑体"/>
          <w:b w:val="0"/>
          <w:bCs/>
          <w:kern w:val="0"/>
          <w:sz w:val="24"/>
          <w:szCs w:val="24"/>
        </w:rPr>
      </w:pPr>
      <w:bookmarkStart w:id="12" w:name="_Toc19542"/>
      <w:r>
        <w:rPr>
          <w:rFonts w:hint="eastAsia" w:ascii="黑体" w:hAnsi="黑体" w:eastAsia="黑体" w:cs="黑体"/>
          <w:b w:val="0"/>
          <w:bCs/>
          <w:kern w:val="0"/>
          <w:sz w:val="21"/>
          <w:szCs w:val="21"/>
          <w:lang w:val="en-US" w:eastAsia="zh-CN"/>
        </w:rPr>
        <w:t xml:space="preserve">5 </w:t>
      </w:r>
      <w:r>
        <w:rPr>
          <w:rFonts w:hint="eastAsia" w:ascii="黑体" w:hAnsi="黑体" w:eastAsia="黑体" w:cs="黑体"/>
          <w:b w:val="0"/>
          <w:bCs/>
          <w:kern w:val="0"/>
          <w:sz w:val="24"/>
          <w:szCs w:val="24"/>
          <w:lang w:val="en-US" w:eastAsia="zh-CN"/>
        </w:rPr>
        <w:t xml:space="preserve"> </w:t>
      </w:r>
      <w:r>
        <w:rPr>
          <w:rFonts w:hint="eastAsia" w:ascii="黑体" w:hAnsi="黑体" w:eastAsia="黑体" w:cs="黑体"/>
          <w:b w:val="0"/>
          <w:bCs/>
          <w:kern w:val="0"/>
          <w:sz w:val="21"/>
          <w:szCs w:val="21"/>
          <w:lang w:val="en-US" w:eastAsia="zh-CN"/>
        </w:rPr>
        <w:t>水源要求</w:t>
      </w:r>
      <w:bookmarkEnd w:id="12"/>
      <w:r>
        <w:rPr>
          <w:rFonts w:hint="eastAsia" w:ascii="黑体" w:hAnsi="黑体" w:eastAsia="黑体" w:cs="黑体"/>
          <w:b w:val="0"/>
          <w:bCs/>
          <w:kern w:val="0"/>
          <w:sz w:val="21"/>
          <w:szCs w:val="21"/>
          <w:lang w:val="en-US" w:eastAsia="zh-CN"/>
        </w:rPr>
        <w:t xml:space="preserve"> </w:t>
      </w:r>
    </w:p>
    <w:p w14:paraId="2E84104C">
      <w:pPr>
        <w:autoSpaceDE w:val="0"/>
        <w:autoSpaceDN w:val="0"/>
        <w:adjustRightInd w:val="0"/>
        <w:spacing w:line="400" w:lineRule="exact"/>
        <w:jc w:val="left"/>
        <w:rPr>
          <w:rFonts w:hint="eastAsia" w:ascii="黑体" w:eastAsia="黑体"/>
          <w:b/>
          <w:bCs/>
        </w:rPr>
      </w:pPr>
      <w:r>
        <w:rPr>
          <w:rFonts w:hint="eastAsia" w:ascii="黑体" w:eastAsia="黑体"/>
          <w:b w:val="0"/>
          <w:bCs w:val="0"/>
          <w:lang w:val="en-US" w:eastAsia="zh-CN"/>
        </w:rPr>
        <w:t xml:space="preserve">5.1 </w:t>
      </w:r>
      <w:r>
        <w:rPr>
          <w:rFonts w:hint="default"/>
          <w:color w:val="auto"/>
          <w:position w:val="0"/>
          <w:sz w:val="21"/>
          <w:lang w:val="en-US" w:eastAsia="zh-CN"/>
        </w:rPr>
        <w:t>以城镇污水作为再生水水源时，其设计水质应根据污水收集区域现状水质和预期水质变化情况确定，并应符合</w:t>
      </w:r>
      <w:r>
        <w:rPr>
          <w:rFonts w:hint="eastAsia"/>
          <w:color w:val="auto"/>
          <w:position w:val="0"/>
          <w:sz w:val="21"/>
          <w:lang w:val="en-US" w:eastAsia="zh-CN"/>
        </w:rPr>
        <w:t xml:space="preserve"> </w:t>
      </w:r>
      <w:r>
        <w:rPr>
          <w:rFonts w:hint="default"/>
          <w:color w:val="auto"/>
          <w:position w:val="0"/>
          <w:sz w:val="21"/>
          <w:lang w:val="en-US" w:eastAsia="zh-CN"/>
        </w:rPr>
        <w:t xml:space="preserve"> </w:t>
      </w:r>
      <w:r>
        <w:rPr>
          <w:rFonts w:hint="eastAsia" w:ascii="宋体" w:hAnsi="宋体" w:eastAsia="宋体" w:cs="宋体"/>
          <w:color w:val="auto"/>
          <w:position w:val="0"/>
          <w:sz w:val="21"/>
          <w:lang w:val="en-US" w:eastAsia="zh-CN"/>
        </w:rPr>
        <w:t>GB/T 31962</w:t>
      </w:r>
      <w:r>
        <w:rPr>
          <w:rFonts w:hint="default"/>
          <w:color w:val="auto"/>
          <w:position w:val="0"/>
          <w:sz w:val="21"/>
          <w:lang w:val="en-US" w:eastAsia="zh-CN"/>
        </w:rPr>
        <w:t xml:space="preserve"> 的有关规定。 </w:t>
      </w:r>
    </w:p>
    <w:p w14:paraId="73220325">
      <w:pPr>
        <w:pStyle w:val="2"/>
        <w:wordWrap/>
        <w:spacing w:line="400" w:lineRule="exact"/>
        <w:jc w:val="left"/>
        <w:rPr>
          <w:rFonts w:hint="eastAsia"/>
          <w:color w:val="auto"/>
          <w:position w:val="0"/>
          <w:sz w:val="21"/>
        </w:rPr>
      </w:pPr>
      <w:r>
        <w:rPr>
          <w:rFonts w:hint="eastAsia" w:ascii="黑体" w:eastAsia="黑体" w:cs="Times New Roman"/>
          <w:b w:val="0"/>
          <w:bCs w:val="0"/>
          <w:color w:val="auto"/>
          <w:kern w:val="2"/>
          <w:position w:val="0"/>
          <w:sz w:val="21"/>
          <w:lang w:val="en-US" w:eastAsia="zh-CN" w:bidi="ar-SA"/>
        </w:rPr>
        <w:t>5</w:t>
      </w:r>
      <w:r>
        <w:rPr>
          <w:rFonts w:hint="default" w:ascii="黑体" w:hAnsi="Times New Roman" w:eastAsia="黑体" w:cs="Times New Roman"/>
          <w:b w:val="0"/>
          <w:bCs w:val="0"/>
          <w:color w:val="auto"/>
          <w:kern w:val="2"/>
          <w:position w:val="0"/>
          <w:sz w:val="21"/>
          <w:lang w:val="en-US" w:eastAsia="zh-CN" w:bidi="ar-SA"/>
        </w:rPr>
        <w:t>.2</w:t>
      </w:r>
      <w:r>
        <w:rPr>
          <w:rFonts w:hint="eastAsia" w:ascii="黑体" w:eastAsia="黑体" w:cs="Times New Roman"/>
          <w:b w:val="0"/>
          <w:bCs w:val="0"/>
          <w:color w:val="auto"/>
          <w:kern w:val="2"/>
          <w:position w:val="0"/>
          <w:sz w:val="21"/>
          <w:lang w:val="en-US" w:eastAsia="zh-CN" w:bidi="ar-SA"/>
        </w:rPr>
        <w:t xml:space="preserve"> </w:t>
      </w:r>
      <w:r>
        <w:rPr>
          <w:rFonts w:hint="default"/>
          <w:color w:val="auto"/>
          <w:position w:val="0"/>
          <w:sz w:val="21"/>
          <w:lang w:val="en-US" w:eastAsia="zh-CN"/>
        </w:rPr>
        <w:t xml:space="preserve">以污水处理厂出水作为再生水水源时，其设计水质可按污水处理厂的实际运行出水水质及原设计出水水质综合分析确定。 </w:t>
      </w:r>
    </w:p>
    <w:p w14:paraId="008A7654">
      <w:pPr>
        <w:pStyle w:val="2"/>
        <w:wordWrap/>
        <w:spacing w:line="400" w:lineRule="exact"/>
        <w:jc w:val="left"/>
        <w:rPr>
          <w:rFonts w:hint="eastAsia"/>
          <w:color w:val="auto"/>
          <w:position w:val="0"/>
          <w:sz w:val="21"/>
        </w:rPr>
      </w:pPr>
      <w:r>
        <w:rPr>
          <w:rFonts w:hint="eastAsia" w:ascii="黑体" w:eastAsia="黑体" w:cs="Times New Roman"/>
          <w:b w:val="0"/>
          <w:bCs w:val="0"/>
          <w:color w:val="auto"/>
          <w:kern w:val="2"/>
          <w:position w:val="0"/>
          <w:sz w:val="21"/>
          <w:lang w:val="en-US" w:eastAsia="zh-CN" w:bidi="ar-SA"/>
        </w:rPr>
        <w:t>5</w:t>
      </w:r>
      <w:r>
        <w:rPr>
          <w:rFonts w:hint="default" w:ascii="黑体" w:hAnsi="Times New Roman" w:eastAsia="黑体" w:cs="Times New Roman"/>
          <w:b w:val="0"/>
          <w:bCs w:val="0"/>
          <w:color w:val="auto"/>
          <w:kern w:val="2"/>
          <w:position w:val="0"/>
          <w:sz w:val="21"/>
          <w:lang w:val="en-US" w:eastAsia="zh-CN" w:bidi="ar-SA"/>
        </w:rPr>
        <w:t>.3</w:t>
      </w:r>
      <w:r>
        <w:rPr>
          <w:rFonts w:hint="eastAsia" w:ascii="黑体" w:eastAsia="黑体" w:cs="Times New Roman"/>
          <w:b w:val="0"/>
          <w:bCs w:val="0"/>
          <w:color w:val="auto"/>
          <w:kern w:val="2"/>
          <w:position w:val="0"/>
          <w:sz w:val="21"/>
          <w:lang w:val="en-US" w:eastAsia="zh-CN" w:bidi="ar-SA"/>
        </w:rPr>
        <w:t xml:space="preserve"> </w:t>
      </w:r>
      <w:r>
        <w:rPr>
          <w:rFonts w:hint="default"/>
          <w:color w:val="auto"/>
          <w:position w:val="0"/>
          <w:sz w:val="21"/>
          <w:lang w:val="en-US" w:eastAsia="zh-CN"/>
        </w:rPr>
        <w:t>再生水水源水宜通过排水管道、暗渠收集输送，不得二次污染。</w:t>
      </w:r>
    </w:p>
    <w:p w14:paraId="00ED0C44">
      <w:pPr>
        <w:pStyle w:val="2"/>
        <w:wordWrap/>
        <w:spacing w:line="400" w:lineRule="exact"/>
        <w:jc w:val="left"/>
        <w:rPr>
          <w:rFonts w:hint="default"/>
          <w:color w:val="auto"/>
          <w:position w:val="0"/>
          <w:sz w:val="21"/>
          <w:lang w:val="en-US" w:eastAsia="zh-CN"/>
        </w:rPr>
      </w:pPr>
      <w:r>
        <w:rPr>
          <w:rFonts w:hint="eastAsia" w:ascii="黑体" w:eastAsia="黑体" w:cs="Times New Roman"/>
          <w:b w:val="0"/>
          <w:bCs w:val="0"/>
          <w:color w:val="auto"/>
          <w:kern w:val="2"/>
          <w:position w:val="0"/>
          <w:sz w:val="21"/>
          <w:lang w:val="en-US" w:eastAsia="zh-CN" w:bidi="ar-SA"/>
        </w:rPr>
        <w:t>5</w:t>
      </w:r>
      <w:r>
        <w:rPr>
          <w:rFonts w:hint="default" w:ascii="黑体" w:hAnsi="Times New Roman" w:eastAsia="黑体" w:cs="Times New Roman"/>
          <w:b w:val="0"/>
          <w:bCs w:val="0"/>
          <w:color w:val="auto"/>
          <w:kern w:val="2"/>
          <w:position w:val="0"/>
          <w:sz w:val="21"/>
          <w:lang w:val="en-US" w:eastAsia="zh-CN" w:bidi="ar-SA"/>
        </w:rPr>
        <w:t>.4</w:t>
      </w:r>
      <w:r>
        <w:rPr>
          <w:rFonts w:hint="eastAsia" w:ascii="黑体" w:eastAsia="黑体" w:cs="Times New Roman"/>
          <w:b w:val="0"/>
          <w:bCs w:val="0"/>
          <w:color w:val="auto"/>
          <w:kern w:val="2"/>
          <w:position w:val="0"/>
          <w:sz w:val="21"/>
          <w:lang w:val="en-US" w:eastAsia="zh-CN" w:bidi="ar-SA"/>
        </w:rPr>
        <w:t xml:space="preserve"> </w:t>
      </w:r>
      <w:r>
        <w:rPr>
          <w:rFonts w:hint="eastAsia"/>
          <w:color w:val="auto"/>
          <w:position w:val="0"/>
          <w:sz w:val="21"/>
          <w:lang w:val="en-US" w:eastAsia="zh-CN"/>
        </w:rPr>
        <w:t>再生水厂水源优先选用生活污水或不含重污染、有毒有害工业废水的城市污水处理厂出水</w:t>
      </w:r>
      <w:r>
        <w:rPr>
          <w:rFonts w:hint="default"/>
          <w:color w:val="auto"/>
          <w:position w:val="0"/>
          <w:sz w:val="21"/>
          <w:lang w:val="en-US" w:eastAsia="zh-CN"/>
        </w:rPr>
        <w:t>。</w:t>
      </w:r>
    </w:p>
    <w:p w14:paraId="7EA1A221">
      <w:pPr>
        <w:pStyle w:val="3"/>
        <w:spacing w:before="156" w:beforeLines="50" w:after="156" w:afterLines="50" w:line="460" w:lineRule="exact"/>
        <w:rPr>
          <w:rFonts w:hint="eastAsia" w:ascii="黑体" w:hAnsi="黑体" w:eastAsia="黑体" w:cs="黑体"/>
          <w:b w:val="0"/>
          <w:bCs/>
          <w:kern w:val="0"/>
          <w:sz w:val="21"/>
          <w:szCs w:val="21"/>
          <w:lang w:val="en-US" w:eastAsia="zh-CN"/>
        </w:rPr>
      </w:pPr>
      <w:bookmarkStart w:id="13" w:name="_Toc26559"/>
      <w:r>
        <w:rPr>
          <w:rFonts w:hint="eastAsia" w:ascii="黑体" w:hAnsi="黑体" w:eastAsia="黑体" w:cs="黑体"/>
          <w:b w:val="0"/>
          <w:bCs/>
          <w:kern w:val="0"/>
          <w:sz w:val="21"/>
          <w:szCs w:val="21"/>
          <w:lang w:val="en-US" w:eastAsia="zh-CN"/>
        </w:rPr>
        <w:t>6  水质要求</w:t>
      </w:r>
      <w:bookmarkEnd w:id="13"/>
    </w:p>
    <w:p w14:paraId="6E7878E6">
      <w:pPr>
        <w:keepNext/>
        <w:keepLines/>
        <w:pageBreakBefore w:val="0"/>
        <w:widowControl w:val="0"/>
        <w:kinsoku/>
        <w:wordWrap/>
        <w:overflowPunct/>
        <w:topLinePunct w:val="0"/>
        <w:autoSpaceDE/>
        <w:autoSpaceDN/>
        <w:bidi w:val="0"/>
        <w:adjustRightInd/>
        <w:snapToGrid/>
        <w:spacing w:before="0" w:after="0" w:line="400" w:lineRule="exact"/>
        <w:textAlignment w:val="auto"/>
        <w:outlineLvl w:val="9"/>
        <w:rPr>
          <w:rFonts w:hint="eastAsia" w:ascii="黑体" w:hAnsi="黑体" w:eastAsia="黑体" w:cs="黑体"/>
          <w:b w:val="0"/>
          <w:bCs/>
          <w:kern w:val="0"/>
          <w:sz w:val="21"/>
          <w:szCs w:val="21"/>
          <w:lang w:val="en-US" w:eastAsia="zh-CN"/>
        </w:rPr>
      </w:pPr>
      <w:r>
        <w:rPr>
          <w:rFonts w:hint="eastAsia" w:ascii="黑体" w:hAnsi="黑体" w:eastAsia="黑体" w:cs="黑体"/>
          <w:b w:val="0"/>
          <w:bCs/>
          <w:kern w:val="0"/>
          <w:sz w:val="21"/>
          <w:szCs w:val="21"/>
          <w:lang w:val="en-US" w:eastAsia="zh-CN"/>
        </w:rPr>
        <w:t>6.1  冷却用水</w:t>
      </w:r>
    </w:p>
    <w:p w14:paraId="6AB02F1C">
      <w:pPr>
        <w:pStyle w:val="2"/>
        <w:wordWrap/>
        <w:spacing w:line="400" w:lineRule="exact"/>
        <w:ind w:firstLine="420" w:firstLineChars="200"/>
        <w:jc w:val="left"/>
        <w:rPr>
          <w:color w:val="auto"/>
          <w:position w:val="0"/>
          <w:sz w:val="21"/>
        </w:rPr>
      </w:pPr>
      <w:r>
        <w:rPr>
          <w:rFonts w:hint="eastAsia"/>
          <w:color w:val="auto"/>
          <w:position w:val="0"/>
          <w:sz w:val="21"/>
        </w:rPr>
        <w:t>再生水</w:t>
      </w:r>
      <w:r>
        <w:rPr>
          <w:color w:val="auto"/>
          <w:position w:val="0"/>
          <w:sz w:val="21"/>
        </w:rPr>
        <w:t>用</w:t>
      </w:r>
      <w:r>
        <w:rPr>
          <w:rFonts w:hint="eastAsia"/>
          <w:color w:val="auto"/>
          <w:position w:val="0"/>
          <w:sz w:val="21"/>
          <w:lang w:val="en-US" w:eastAsia="zh-CN"/>
        </w:rPr>
        <w:t>作</w:t>
      </w:r>
      <w:r>
        <w:rPr>
          <w:color w:val="auto"/>
          <w:position w:val="0"/>
          <w:sz w:val="21"/>
        </w:rPr>
        <w:t>冷却用水时，</w:t>
      </w:r>
      <w:r>
        <w:rPr>
          <w:rFonts w:hint="eastAsia"/>
          <w:color w:val="auto"/>
          <w:position w:val="0"/>
          <w:sz w:val="21"/>
        </w:rPr>
        <w:t>水质</w:t>
      </w:r>
      <w:r>
        <w:rPr>
          <w:color w:val="auto"/>
          <w:position w:val="0"/>
          <w:sz w:val="21"/>
        </w:rPr>
        <w:t>应</w:t>
      </w:r>
      <w:r>
        <w:rPr>
          <w:rFonts w:hint="eastAsia"/>
          <w:color w:val="auto"/>
          <w:position w:val="0"/>
          <w:sz w:val="21"/>
        </w:rPr>
        <w:t>符合</w:t>
      </w:r>
      <w:r>
        <w:rPr>
          <w:color w:val="auto"/>
          <w:position w:val="0"/>
          <w:sz w:val="21"/>
        </w:rPr>
        <w:t>GB/T 19923</w:t>
      </w:r>
      <w:r>
        <w:rPr>
          <w:rFonts w:hint="eastAsia"/>
          <w:color w:val="auto"/>
          <w:position w:val="0"/>
          <w:sz w:val="21"/>
        </w:rPr>
        <w:t>和相关行业标准的要求</w:t>
      </w:r>
      <w:r>
        <w:rPr>
          <w:color w:val="auto"/>
          <w:position w:val="0"/>
          <w:sz w:val="21"/>
        </w:rPr>
        <w:t>，同时关注再生水的化学稳定性、 生物稳定性等指标。化学稳定性评价宜根据管网材料和设备类型选择指标，见附录A。生物稳定性评价选用可生物降解溶解性有机碳（BDOC）、可同化有机碳（AOC）等指标，见附录B。</w:t>
      </w:r>
    </w:p>
    <w:p w14:paraId="62F77FEA">
      <w:pPr>
        <w:keepNext/>
        <w:keepLines/>
        <w:pageBreakBefore w:val="0"/>
        <w:widowControl w:val="0"/>
        <w:kinsoku/>
        <w:wordWrap/>
        <w:overflowPunct/>
        <w:topLinePunct w:val="0"/>
        <w:autoSpaceDE/>
        <w:autoSpaceDN/>
        <w:bidi w:val="0"/>
        <w:adjustRightInd/>
        <w:snapToGrid/>
        <w:spacing w:before="0" w:after="0" w:line="400" w:lineRule="exact"/>
        <w:textAlignment w:val="auto"/>
        <w:outlineLvl w:val="9"/>
        <w:rPr>
          <w:rFonts w:hint="eastAsia" w:ascii="黑体" w:hAnsi="黑体" w:eastAsia="黑体" w:cs="黑体"/>
          <w:b w:val="0"/>
          <w:bCs/>
          <w:kern w:val="0"/>
          <w:sz w:val="21"/>
          <w:szCs w:val="21"/>
          <w:lang w:val="en-US" w:eastAsia="zh-CN" w:bidi="ar-SA"/>
        </w:rPr>
      </w:pPr>
      <w:r>
        <w:rPr>
          <w:rFonts w:hint="eastAsia" w:ascii="黑体" w:hAnsi="黑体" w:eastAsia="黑体" w:cs="黑体"/>
          <w:b w:val="0"/>
          <w:bCs/>
          <w:kern w:val="0"/>
          <w:sz w:val="21"/>
          <w:szCs w:val="21"/>
          <w:lang w:val="en-US" w:eastAsia="zh-CN" w:bidi="ar-SA"/>
        </w:rPr>
        <w:t xml:space="preserve">6.2  洗涤用水 </w:t>
      </w:r>
    </w:p>
    <w:p w14:paraId="378627E3">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color w:val="auto"/>
          <w:position w:val="0"/>
          <w:sz w:val="21"/>
          <w:lang w:val="en-US" w:eastAsia="zh-CN"/>
        </w:rPr>
      </w:pPr>
      <w:r>
        <w:rPr>
          <w:rFonts w:hint="eastAsia"/>
          <w:color w:val="auto"/>
          <w:position w:val="0"/>
          <w:sz w:val="21"/>
        </w:rPr>
        <w:t>再生水用作洗涤用水时，水质应符合</w:t>
      </w:r>
      <w:r>
        <w:rPr>
          <w:rFonts w:hint="eastAsia" w:ascii="宋体" w:hAnsi="宋体" w:eastAsia="宋体" w:cs="宋体"/>
          <w:color w:val="auto"/>
          <w:position w:val="0"/>
          <w:sz w:val="21"/>
        </w:rPr>
        <w:t xml:space="preserve"> GB/T 19923</w:t>
      </w:r>
      <w:r>
        <w:rPr>
          <w:rFonts w:hint="eastAsia"/>
          <w:color w:val="auto"/>
          <w:position w:val="0"/>
          <w:sz w:val="21"/>
        </w:rPr>
        <w:t xml:space="preserve"> 和相关行业标准的要求。 </w:t>
      </w:r>
    </w:p>
    <w:p w14:paraId="059F1D92">
      <w:pPr>
        <w:keepNext/>
        <w:keepLines/>
        <w:pageBreakBefore w:val="0"/>
        <w:widowControl w:val="0"/>
        <w:kinsoku/>
        <w:wordWrap/>
        <w:overflowPunct/>
        <w:topLinePunct w:val="0"/>
        <w:autoSpaceDE/>
        <w:autoSpaceDN/>
        <w:bidi w:val="0"/>
        <w:adjustRightInd/>
        <w:snapToGrid/>
        <w:spacing w:before="0" w:after="0" w:line="400" w:lineRule="exact"/>
        <w:textAlignment w:val="auto"/>
        <w:outlineLvl w:val="9"/>
        <w:rPr>
          <w:rFonts w:hint="eastAsia" w:ascii="黑体" w:hAnsi="黑体" w:eastAsia="黑体" w:cs="黑体"/>
          <w:b w:val="0"/>
          <w:bCs/>
          <w:kern w:val="0"/>
          <w:sz w:val="21"/>
          <w:szCs w:val="21"/>
          <w:lang w:val="en-US" w:eastAsia="zh-CN"/>
        </w:rPr>
      </w:pPr>
      <w:r>
        <w:rPr>
          <w:rFonts w:hint="eastAsia" w:ascii="黑体" w:hAnsi="黑体" w:eastAsia="黑体" w:cs="黑体"/>
          <w:b w:val="0"/>
          <w:bCs/>
          <w:kern w:val="0"/>
          <w:sz w:val="21"/>
          <w:szCs w:val="21"/>
          <w:lang w:val="en-US" w:eastAsia="zh-CN" w:bidi="ar-SA"/>
        </w:rPr>
        <w:t xml:space="preserve">6.3  </w:t>
      </w:r>
      <w:r>
        <w:rPr>
          <w:rFonts w:hint="eastAsia" w:ascii="黑体" w:hAnsi="黑体" w:eastAsia="黑体" w:cs="黑体"/>
          <w:b w:val="0"/>
          <w:bCs/>
          <w:kern w:val="0"/>
          <w:sz w:val="21"/>
          <w:szCs w:val="21"/>
          <w:lang w:val="en-US" w:eastAsia="zh-CN"/>
        </w:rPr>
        <w:t>锅炉与供热管网补充水</w:t>
      </w:r>
    </w:p>
    <w:p w14:paraId="0B842F90">
      <w:pPr>
        <w:pStyle w:val="2"/>
        <w:wordWrap/>
        <w:spacing w:line="400" w:lineRule="exact"/>
        <w:ind w:firstLine="420" w:firstLineChars="200"/>
        <w:jc w:val="left"/>
        <w:rPr>
          <w:rFonts w:hint="eastAsia"/>
          <w:color w:val="auto"/>
          <w:position w:val="0"/>
          <w:sz w:val="21"/>
        </w:rPr>
      </w:pPr>
      <w:r>
        <w:rPr>
          <w:rFonts w:hint="default"/>
          <w:color w:val="auto"/>
          <w:position w:val="0"/>
          <w:sz w:val="21"/>
          <w:lang w:val="en-US" w:eastAsia="zh-CN"/>
        </w:rPr>
        <w:t>再生水</w:t>
      </w:r>
      <w:r>
        <w:rPr>
          <w:rFonts w:hint="eastAsia"/>
          <w:color w:val="auto"/>
          <w:position w:val="0"/>
          <w:sz w:val="21"/>
          <w:lang w:val="en-US" w:eastAsia="zh-CN"/>
        </w:rPr>
        <w:t>用</w:t>
      </w:r>
      <w:r>
        <w:rPr>
          <w:rFonts w:hint="default"/>
          <w:color w:val="auto"/>
          <w:position w:val="0"/>
          <w:sz w:val="21"/>
          <w:lang w:val="en-US" w:eastAsia="zh-CN"/>
        </w:rPr>
        <w:t>作锅炉补</w:t>
      </w:r>
      <w:r>
        <w:rPr>
          <w:rFonts w:hint="eastAsia"/>
          <w:color w:val="auto"/>
          <w:position w:val="0"/>
          <w:sz w:val="21"/>
          <w:lang w:val="en-US" w:eastAsia="zh-CN"/>
        </w:rPr>
        <w:t>充</w:t>
      </w:r>
      <w:r>
        <w:rPr>
          <w:rFonts w:hint="default"/>
          <w:color w:val="auto"/>
          <w:position w:val="0"/>
          <w:sz w:val="21"/>
          <w:lang w:val="en-US" w:eastAsia="zh-CN"/>
        </w:rPr>
        <w:t>水时，应进行软化、除盐等处理</w:t>
      </w:r>
      <w:r>
        <w:rPr>
          <w:rFonts w:hint="eastAsia"/>
          <w:color w:val="auto"/>
          <w:position w:val="0"/>
          <w:sz w:val="21"/>
          <w:lang w:val="en-US" w:eastAsia="zh-CN"/>
        </w:rPr>
        <w:t>，</w:t>
      </w:r>
      <w:r>
        <w:rPr>
          <w:rFonts w:hint="eastAsia"/>
          <w:color w:val="auto"/>
          <w:position w:val="0"/>
          <w:sz w:val="21"/>
        </w:rPr>
        <w:t>水质</w:t>
      </w:r>
      <w:r>
        <w:rPr>
          <w:color w:val="auto"/>
          <w:position w:val="0"/>
          <w:sz w:val="21"/>
        </w:rPr>
        <w:t>应</w:t>
      </w:r>
      <w:r>
        <w:rPr>
          <w:rFonts w:hint="eastAsia"/>
          <w:color w:val="auto"/>
          <w:position w:val="0"/>
          <w:sz w:val="21"/>
        </w:rPr>
        <w:t>符合</w:t>
      </w:r>
      <w:r>
        <w:rPr>
          <w:rFonts w:hint="eastAsia" w:ascii="宋体" w:hAnsi="宋体" w:eastAsia="宋体" w:cs="宋体"/>
          <w:color w:val="auto"/>
          <w:position w:val="0"/>
          <w:sz w:val="21"/>
        </w:rPr>
        <w:t>GB/T 19923</w:t>
      </w:r>
      <w:r>
        <w:rPr>
          <w:rFonts w:hint="eastAsia"/>
          <w:color w:val="auto"/>
          <w:position w:val="0"/>
          <w:sz w:val="21"/>
        </w:rPr>
        <w:t>和相关行业标准的要求</w:t>
      </w:r>
      <w:r>
        <w:rPr>
          <w:color w:val="auto"/>
          <w:position w:val="0"/>
          <w:sz w:val="21"/>
        </w:rPr>
        <w:t>，同时关注再生水的化学稳定性</w:t>
      </w:r>
      <w:r>
        <w:rPr>
          <w:rFonts w:hint="eastAsia"/>
          <w:color w:val="auto"/>
          <w:position w:val="0"/>
          <w:sz w:val="21"/>
        </w:rPr>
        <w:t>。</w:t>
      </w:r>
    </w:p>
    <w:p w14:paraId="30940436">
      <w:pPr>
        <w:pStyle w:val="2"/>
        <w:wordWrap/>
        <w:spacing w:line="400" w:lineRule="exact"/>
        <w:ind w:firstLine="420" w:firstLineChars="200"/>
        <w:jc w:val="left"/>
        <w:rPr>
          <w:rFonts w:hint="eastAsia" w:ascii="Times New Roman" w:hAnsi="Times New Roman" w:eastAsia="宋体" w:cs="Times New Roman"/>
          <w:color w:val="auto"/>
          <w:position w:val="0"/>
          <w:sz w:val="21"/>
          <w:lang w:val="en-US" w:eastAsia="zh-CN"/>
        </w:rPr>
      </w:pPr>
      <w:r>
        <w:rPr>
          <w:rFonts w:hint="default" w:ascii="Times New Roman" w:hAnsi="Times New Roman" w:eastAsia="宋体" w:cs="Times New Roman"/>
          <w:color w:val="auto"/>
          <w:position w:val="0"/>
          <w:sz w:val="21"/>
          <w:lang w:val="en-US" w:eastAsia="zh-CN"/>
        </w:rPr>
        <w:t>再生水</w:t>
      </w:r>
      <w:r>
        <w:rPr>
          <w:rFonts w:hint="eastAsia" w:cs="Times New Roman"/>
          <w:color w:val="auto"/>
          <w:position w:val="0"/>
          <w:sz w:val="21"/>
          <w:lang w:val="en-US" w:eastAsia="zh-CN"/>
        </w:rPr>
        <w:t>用</w:t>
      </w:r>
      <w:r>
        <w:rPr>
          <w:rFonts w:hint="default" w:ascii="Times New Roman" w:hAnsi="Times New Roman" w:eastAsia="宋体" w:cs="Times New Roman"/>
          <w:color w:val="auto"/>
          <w:position w:val="0"/>
          <w:sz w:val="21"/>
          <w:lang w:val="en-US" w:eastAsia="zh-CN"/>
        </w:rPr>
        <w:t>作</w:t>
      </w:r>
      <w:r>
        <w:rPr>
          <w:rFonts w:hint="eastAsia" w:ascii="Times New Roman" w:hAnsi="Times New Roman" w:eastAsia="宋体" w:cs="Times New Roman"/>
          <w:color w:val="auto"/>
          <w:position w:val="0"/>
          <w:sz w:val="21"/>
          <w:lang w:val="en-US" w:eastAsia="zh-CN"/>
        </w:rPr>
        <w:t>供热管网补充水时，</w:t>
      </w:r>
      <w:r>
        <w:rPr>
          <w:rFonts w:hint="eastAsia"/>
          <w:color w:val="auto"/>
          <w:position w:val="0"/>
          <w:sz w:val="21"/>
        </w:rPr>
        <w:t>水质</w:t>
      </w:r>
      <w:r>
        <w:rPr>
          <w:color w:val="auto"/>
          <w:position w:val="0"/>
          <w:sz w:val="21"/>
        </w:rPr>
        <w:t>应</w:t>
      </w:r>
      <w:r>
        <w:rPr>
          <w:rFonts w:hint="eastAsia"/>
          <w:color w:val="auto"/>
          <w:position w:val="0"/>
          <w:sz w:val="21"/>
        </w:rPr>
        <w:t>符合</w:t>
      </w:r>
      <w:r>
        <w:rPr>
          <w:rFonts w:hint="eastAsia" w:ascii="宋体" w:hAnsi="宋体" w:eastAsia="宋体" w:cs="宋体"/>
          <w:color w:val="auto"/>
          <w:position w:val="0"/>
          <w:sz w:val="21"/>
        </w:rPr>
        <w:t>GB/T 19923</w:t>
      </w:r>
      <w:r>
        <w:rPr>
          <w:rFonts w:hint="eastAsia"/>
          <w:color w:val="auto"/>
          <w:position w:val="0"/>
          <w:sz w:val="21"/>
        </w:rPr>
        <w:t>和相关行业标准的要求</w:t>
      </w:r>
      <w:r>
        <w:rPr>
          <w:rFonts w:hint="default" w:ascii="Times New Roman" w:hAnsi="Times New Roman" w:eastAsia="宋体" w:cs="Times New Roman"/>
          <w:color w:val="auto"/>
          <w:position w:val="0"/>
          <w:sz w:val="21"/>
          <w:lang w:val="en-US" w:eastAsia="zh-CN"/>
        </w:rPr>
        <w:t>。</w:t>
      </w:r>
    </w:p>
    <w:p w14:paraId="0C822EAE">
      <w:pPr>
        <w:keepNext/>
        <w:keepLines/>
        <w:pageBreakBefore w:val="0"/>
        <w:widowControl w:val="0"/>
        <w:kinsoku/>
        <w:wordWrap/>
        <w:overflowPunct/>
        <w:topLinePunct w:val="0"/>
        <w:autoSpaceDE/>
        <w:autoSpaceDN/>
        <w:bidi w:val="0"/>
        <w:adjustRightInd/>
        <w:snapToGrid/>
        <w:spacing w:before="0" w:after="0" w:line="400" w:lineRule="exact"/>
        <w:textAlignment w:val="auto"/>
        <w:outlineLvl w:val="9"/>
        <w:rPr>
          <w:rFonts w:hint="eastAsia" w:ascii="黑体" w:hAnsi="黑体" w:eastAsia="黑体" w:cs="黑体"/>
          <w:b w:val="0"/>
          <w:bCs/>
          <w:kern w:val="0"/>
          <w:sz w:val="21"/>
          <w:szCs w:val="21"/>
          <w:lang w:val="en-US" w:eastAsia="zh-CN"/>
        </w:rPr>
      </w:pPr>
      <w:r>
        <w:rPr>
          <w:rFonts w:hint="eastAsia" w:ascii="黑体" w:hAnsi="黑体" w:eastAsia="黑体" w:cs="黑体"/>
          <w:b w:val="0"/>
          <w:bCs/>
          <w:kern w:val="0"/>
          <w:sz w:val="21"/>
          <w:szCs w:val="21"/>
          <w:lang w:val="en-US" w:eastAsia="zh-CN"/>
        </w:rPr>
        <w:t xml:space="preserve">6.4  工艺用水 </w:t>
      </w:r>
    </w:p>
    <w:p w14:paraId="77951E27">
      <w:pPr>
        <w:pStyle w:val="2"/>
        <w:wordWrap/>
        <w:spacing w:line="400" w:lineRule="exact"/>
        <w:ind w:firstLine="420" w:firstLineChars="200"/>
        <w:jc w:val="left"/>
        <w:rPr>
          <w:rFonts w:hint="eastAsia"/>
          <w:color w:val="auto"/>
          <w:position w:val="0"/>
          <w:sz w:val="21"/>
        </w:rPr>
      </w:pPr>
      <w:r>
        <w:rPr>
          <w:rFonts w:hint="eastAsia"/>
          <w:color w:val="auto"/>
          <w:position w:val="0"/>
          <w:sz w:val="21"/>
        </w:rPr>
        <w:t>再生水用作工艺用水时，应通过再生水利用试验、典型案例分析等验证其可行性。水质应符合相关行业及工艺标准要求，对再生水直接利用或进一步处理后使用。</w:t>
      </w:r>
    </w:p>
    <w:p w14:paraId="7F71CCD9">
      <w:pPr>
        <w:keepNext/>
        <w:keepLines/>
        <w:pageBreakBefore w:val="0"/>
        <w:widowControl w:val="0"/>
        <w:kinsoku/>
        <w:wordWrap/>
        <w:overflowPunct/>
        <w:topLinePunct w:val="0"/>
        <w:autoSpaceDE/>
        <w:autoSpaceDN/>
        <w:bidi w:val="0"/>
        <w:adjustRightInd/>
        <w:snapToGrid/>
        <w:spacing w:before="0" w:after="0" w:line="400" w:lineRule="exact"/>
        <w:textAlignment w:val="auto"/>
        <w:outlineLvl w:val="9"/>
        <w:rPr>
          <w:rFonts w:hint="eastAsia" w:ascii="黑体" w:hAnsi="黑体" w:eastAsia="黑体" w:cs="黑体"/>
          <w:b w:val="0"/>
          <w:bCs/>
          <w:kern w:val="0"/>
          <w:sz w:val="21"/>
          <w:szCs w:val="21"/>
          <w:lang w:val="en-US" w:eastAsia="zh-CN"/>
        </w:rPr>
      </w:pPr>
      <w:r>
        <w:rPr>
          <w:rFonts w:hint="eastAsia" w:ascii="黑体" w:hAnsi="黑体" w:eastAsia="黑体" w:cs="黑体"/>
          <w:b w:val="0"/>
          <w:bCs/>
          <w:kern w:val="0"/>
          <w:sz w:val="21"/>
          <w:szCs w:val="21"/>
          <w:lang w:val="en-US" w:eastAsia="zh-CN"/>
        </w:rPr>
        <w:t xml:space="preserve">6.5  产品用水 </w:t>
      </w:r>
    </w:p>
    <w:p w14:paraId="53EEC0CC">
      <w:pPr>
        <w:spacing w:line="400" w:lineRule="exact"/>
        <w:ind w:firstLine="420" w:firstLineChars="200"/>
        <w:jc w:val="left"/>
      </w:pPr>
      <w:r>
        <w:rPr>
          <w:rFonts w:hint="eastAsia"/>
        </w:rPr>
        <w:t>再生水</w:t>
      </w:r>
      <w:r>
        <w:t>用作</w:t>
      </w:r>
      <w:r>
        <w:rPr>
          <w:rFonts w:hint="eastAsia"/>
          <w:lang w:val="en-US" w:eastAsia="zh-CN"/>
        </w:rPr>
        <w:t>产品</w:t>
      </w:r>
      <w:r>
        <w:t>用水时，</w:t>
      </w:r>
      <w:r>
        <w:rPr>
          <w:rFonts w:hint="eastAsia"/>
        </w:rPr>
        <w:t>水质应符合</w:t>
      </w:r>
      <w:r>
        <w:rPr>
          <w:rFonts w:hint="eastAsia" w:ascii="宋体" w:hAnsi="宋体" w:eastAsia="宋体" w:cs="宋体"/>
          <w:color w:val="auto"/>
          <w:position w:val="0"/>
          <w:sz w:val="21"/>
        </w:rPr>
        <w:t>GB/T 19923</w:t>
      </w:r>
      <w:r>
        <w:rPr>
          <w:rFonts w:hint="eastAsia" w:ascii="宋体" w:hAnsi="宋体" w:eastAsia="宋体" w:cs="宋体"/>
        </w:rPr>
        <w:t xml:space="preserve"> </w:t>
      </w:r>
      <w:r>
        <w:t>和相关</w:t>
      </w:r>
      <w:r>
        <w:rPr>
          <w:rFonts w:hint="eastAsia"/>
        </w:rPr>
        <w:t>行业</w:t>
      </w:r>
      <w:r>
        <w:t>标准</w:t>
      </w:r>
      <w:r>
        <w:rPr>
          <w:rFonts w:hint="eastAsia"/>
        </w:rPr>
        <w:t>的</w:t>
      </w:r>
      <w:r>
        <w:t>要求。</w:t>
      </w:r>
    </w:p>
    <w:p w14:paraId="1570499E">
      <w:pPr>
        <w:pStyle w:val="3"/>
        <w:spacing w:before="156" w:beforeLines="50" w:after="156" w:afterLines="50" w:line="460" w:lineRule="exact"/>
        <w:rPr>
          <w:rFonts w:hint="default" w:ascii="黑体" w:hAnsi="黑体" w:eastAsia="黑体" w:cs="黑体"/>
          <w:b w:val="0"/>
          <w:bCs/>
          <w:kern w:val="0"/>
          <w:sz w:val="21"/>
          <w:szCs w:val="21"/>
          <w:lang w:val="en-US" w:eastAsia="zh-CN"/>
        </w:rPr>
      </w:pPr>
      <w:bookmarkStart w:id="14" w:name="_Toc1681"/>
      <w:r>
        <w:rPr>
          <w:rFonts w:hint="eastAsia" w:ascii="黑体" w:hAnsi="黑体" w:eastAsia="黑体" w:cs="黑体"/>
          <w:b w:val="0"/>
          <w:bCs/>
          <w:kern w:val="0"/>
          <w:sz w:val="21"/>
          <w:szCs w:val="21"/>
          <w:lang w:val="en-US" w:eastAsia="zh-CN"/>
        </w:rPr>
        <w:t>7  污水收集</w:t>
      </w:r>
      <w:bookmarkEnd w:id="14"/>
    </w:p>
    <w:p w14:paraId="70AA8D95">
      <w:pPr>
        <w:spacing w:line="400" w:lineRule="exact"/>
        <w:jc w:val="left"/>
        <w:rPr>
          <w:rFonts w:hint="eastAsia"/>
          <w:lang w:val="en-US" w:eastAsia="zh-CN"/>
        </w:rPr>
      </w:pPr>
      <w:r>
        <w:rPr>
          <w:rFonts w:hint="eastAsia" w:ascii="黑体" w:eastAsia="黑体"/>
          <w:b w:val="0"/>
          <w:bCs w:val="0"/>
          <w:lang w:val="en-US" w:eastAsia="zh-CN"/>
        </w:rPr>
        <w:t>7</w:t>
      </w:r>
      <w:r>
        <w:rPr>
          <w:rFonts w:hint="eastAsia" w:ascii="黑体" w:eastAsia="黑体"/>
          <w:b w:val="0"/>
          <w:bCs w:val="0"/>
        </w:rPr>
        <w:t xml:space="preserve">.1  </w:t>
      </w:r>
      <w:r>
        <w:rPr>
          <w:rFonts w:ascii="Arial" w:hAnsi="Arial" w:eastAsia="Arial" w:cs="Arial"/>
          <w:i w:val="0"/>
          <w:iCs w:val="0"/>
          <w:caps w:val="0"/>
          <w:color w:val="333333"/>
          <w:spacing w:val="0"/>
          <w:sz w:val="21"/>
          <w:szCs w:val="21"/>
          <w:shd w:val="clear" w:fill="FFFFFF"/>
        </w:rPr>
        <w:t>污水收集系统的规划和建设需要综合考虑企业的具体需求和城镇的整体发展规划</w:t>
      </w:r>
      <w:r>
        <w:rPr>
          <w:rFonts w:hint="eastAsia" w:ascii="Arial" w:hAnsi="Arial" w:eastAsia="宋体" w:cs="Arial"/>
          <w:i w:val="0"/>
          <w:iCs w:val="0"/>
          <w:caps w:val="0"/>
          <w:color w:val="333333"/>
          <w:spacing w:val="0"/>
          <w:sz w:val="21"/>
          <w:szCs w:val="21"/>
          <w:shd w:val="clear" w:fill="FFFFFF"/>
          <w:lang w:eastAsia="zh-CN"/>
        </w:rPr>
        <w:t>，</w:t>
      </w:r>
      <w:r>
        <w:rPr>
          <w:rFonts w:hint="eastAsia"/>
          <w:lang w:val="en-US" w:eastAsia="zh-CN"/>
        </w:rPr>
        <w:t>并应与自然经济条件、自然环境、地形地貌、经济发展、施工条件及运维管理水平等条件充分结合，统一规划，按计划建设。</w:t>
      </w:r>
    </w:p>
    <w:p w14:paraId="50FB65EB">
      <w:pPr>
        <w:spacing w:line="400" w:lineRule="exact"/>
        <w:jc w:val="left"/>
        <w:rPr>
          <w:rFonts w:hint="eastAsia"/>
          <w:lang w:val="en-US" w:eastAsia="zh-CN"/>
        </w:rPr>
      </w:pPr>
      <w:r>
        <w:rPr>
          <w:rFonts w:hint="eastAsia" w:ascii="黑体" w:eastAsia="黑体"/>
          <w:b w:val="0"/>
          <w:bCs w:val="0"/>
          <w:lang w:val="en-US" w:eastAsia="zh-CN"/>
        </w:rPr>
        <w:t>7</w:t>
      </w:r>
      <w:r>
        <w:rPr>
          <w:rFonts w:hint="eastAsia" w:ascii="黑体" w:eastAsia="黑体"/>
          <w:b w:val="0"/>
          <w:bCs w:val="0"/>
        </w:rPr>
        <w:t>.</w:t>
      </w:r>
      <w:r>
        <w:rPr>
          <w:rFonts w:ascii="黑体" w:eastAsia="黑体"/>
          <w:b w:val="0"/>
          <w:bCs w:val="0"/>
        </w:rPr>
        <w:t>2</w:t>
      </w:r>
      <w:r>
        <w:rPr>
          <w:rFonts w:hint="eastAsia" w:ascii="黑体" w:eastAsia="黑体"/>
          <w:b w:val="0"/>
          <w:bCs w:val="0"/>
        </w:rPr>
        <w:t xml:space="preserve">  </w:t>
      </w:r>
      <w:r>
        <w:rPr>
          <w:rFonts w:hint="eastAsia"/>
          <w:lang w:val="en-US" w:eastAsia="zh-CN"/>
        </w:rPr>
        <w:t>污水收集系统和污水处理设施应同步规划、同步建设、同步运行。</w:t>
      </w:r>
    </w:p>
    <w:p w14:paraId="6C0DB0F7">
      <w:pPr>
        <w:spacing w:line="400" w:lineRule="exact"/>
        <w:jc w:val="left"/>
        <w:rPr>
          <w:rFonts w:hint="eastAsia"/>
          <w:lang w:val="en-US" w:eastAsia="zh-CN"/>
        </w:rPr>
      </w:pPr>
      <w:r>
        <w:rPr>
          <w:rFonts w:hint="eastAsia" w:ascii="黑体" w:eastAsia="黑体"/>
          <w:b w:val="0"/>
          <w:bCs w:val="0"/>
          <w:lang w:val="en-US" w:eastAsia="zh-CN"/>
        </w:rPr>
        <w:t>7</w:t>
      </w:r>
      <w:r>
        <w:rPr>
          <w:rFonts w:ascii="黑体" w:eastAsia="黑体"/>
          <w:b w:val="0"/>
          <w:bCs w:val="0"/>
        </w:rPr>
        <w:t xml:space="preserve">.3  </w:t>
      </w:r>
      <w:r>
        <w:rPr>
          <w:rFonts w:hint="eastAsia"/>
          <w:lang w:val="en-US" w:eastAsia="zh-CN"/>
        </w:rPr>
        <w:t>污水管网建设时，应保证同步建设污水收集主管、支管和接户管，以建立完善的企业污水收集、运输及处理系统。</w:t>
      </w:r>
    </w:p>
    <w:p w14:paraId="307376DA">
      <w:pPr>
        <w:pStyle w:val="3"/>
        <w:spacing w:before="156" w:beforeLines="50" w:after="156" w:afterLines="50" w:line="460" w:lineRule="exact"/>
        <w:rPr>
          <w:rFonts w:hint="eastAsia" w:ascii="黑体" w:hAnsi="黑体" w:eastAsia="黑体" w:cs="黑体"/>
          <w:b w:val="0"/>
          <w:bCs/>
          <w:kern w:val="0"/>
          <w:sz w:val="21"/>
          <w:szCs w:val="21"/>
          <w:lang w:val="en-US" w:eastAsia="zh-CN"/>
        </w:rPr>
      </w:pPr>
      <w:bookmarkStart w:id="15" w:name="_Toc27878"/>
      <w:r>
        <w:rPr>
          <w:rFonts w:hint="eastAsia" w:ascii="黑体" w:hAnsi="黑体" w:eastAsia="黑体" w:cs="黑体"/>
          <w:b w:val="0"/>
          <w:bCs/>
          <w:kern w:val="0"/>
          <w:sz w:val="21"/>
          <w:szCs w:val="21"/>
          <w:lang w:val="en-US" w:eastAsia="zh-CN"/>
        </w:rPr>
        <w:t>8  处理工艺</w:t>
      </w:r>
      <w:bookmarkEnd w:id="15"/>
    </w:p>
    <w:p w14:paraId="62136097">
      <w:pPr>
        <w:spacing w:line="400" w:lineRule="exact"/>
        <w:outlineLvl w:val="1"/>
        <w:rPr>
          <w:rFonts w:ascii="黑体" w:eastAsia="黑体"/>
          <w:b w:val="0"/>
          <w:bCs w:val="0"/>
        </w:rPr>
      </w:pPr>
      <w:r>
        <w:rPr>
          <w:rFonts w:hint="eastAsia" w:ascii="黑体" w:hAnsi="黑体" w:eastAsia="黑体" w:cs="黑体"/>
          <w:b w:val="0"/>
          <w:bCs/>
          <w:kern w:val="0"/>
          <w:sz w:val="21"/>
          <w:szCs w:val="21"/>
          <w:lang w:val="en-US" w:eastAsia="zh-CN"/>
        </w:rPr>
        <w:t>8</w:t>
      </w:r>
      <w:r>
        <w:rPr>
          <w:rFonts w:hint="eastAsia" w:ascii="黑体" w:eastAsia="黑体"/>
          <w:b w:val="0"/>
          <w:bCs w:val="0"/>
        </w:rPr>
        <w:t>.1  冷却用水</w:t>
      </w:r>
    </w:p>
    <w:p w14:paraId="0EE199DB">
      <w:pPr>
        <w:spacing w:line="400" w:lineRule="exact"/>
        <w:outlineLvl w:val="1"/>
      </w:pPr>
      <w:r>
        <w:rPr>
          <w:rFonts w:hint="eastAsia" w:ascii="黑体" w:hAnsi="黑体" w:eastAsia="黑体" w:cs="黑体"/>
          <w:b w:val="0"/>
          <w:bCs/>
          <w:kern w:val="0"/>
          <w:sz w:val="21"/>
          <w:szCs w:val="21"/>
          <w:lang w:val="en-US" w:eastAsia="zh-CN"/>
        </w:rPr>
        <w:t>8</w:t>
      </w:r>
      <w:r>
        <w:rPr>
          <w:rFonts w:hint="eastAsia" w:ascii="黑体" w:eastAsia="黑体"/>
          <w:b w:val="0"/>
          <w:bCs w:val="0"/>
        </w:rPr>
        <w:t>.</w:t>
      </w:r>
      <w:r>
        <w:rPr>
          <w:rFonts w:ascii="黑体" w:eastAsia="黑体"/>
          <w:b w:val="0"/>
          <w:bCs w:val="0"/>
        </w:rPr>
        <w:t>1.</w:t>
      </w:r>
      <w:r>
        <w:rPr>
          <w:rFonts w:hint="eastAsia" w:ascii="黑体" w:eastAsia="黑体"/>
          <w:b w:val="0"/>
          <w:bCs w:val="0"/>
        </w:rPr>
        <w:t>1</w:t>
      </w:r>
      <w:r>
        <w:rPr>
          <w:rFonts w:ascii="黑体" w:eastAsia="黑体"/>
          <w:b w:val="0"/>
          <w:bCs w:val="0"/>
        </w:rPr>
        <w:t xml:space="preserve">  </w:t>
      </w:r>
      <w:r>
        <w:rPr>
          <w:rFonts w:hint="eastAsia"/>
        </w:rPr>
        <w:t>再生水供水水质不能满足工业企业冷却用水需求时，应采取适宜工艺，进行进一步处理。处理工艺选取见附录C。</w:t>
      </w:r>
    </w:p>
    <w:p w14:paraId="6217EC31">
      <w:pPr>
        <w:spacing w:line="400" w:lineRule="exact"/>
        <w:outlineLvl w:val="1"/>
      </w:pPr>
      <w:r>
        <w:rPr>
          <w:rFonts w:hint="eastAsia" w:ascii="黑体" w:hAnsi="黑体" w:eastAsia="黑体" w:cs="黑体"/>
          <w:b w:val="0"/>
          <w:bCs/>
          <w:kern w:val="0"/>
          <w:sz w:val="21"/>
          <w:szCs w:val="21"/>
          <w:lang w:val="en-US" w:eastAsia="zh-CN"/>
        </w:rPr>
        <w:t>8</w:t>
      </w:r>
      <w:r>
        <w:rPr>
          <w:rFonts w:hint="eastAsia" w:ascii="黑体" w:eastAsia="黑体"/>
          <w:b w:val="0"/>
          <w:bCs w:val="0"/>
        </w:rPr>
        <w:t>.</w:t>
      </w:r>
      <w:r>
        <w:rPr>
          <w:rFonts w:ascii="黑体" w:eastAsia="黑体"/>
          <w:b w:val="0"/>
          <w:bCs w:val="0"/>
        </w:rPr>
        <w:t>1.2</w:t>
      </w:r>
      <w:r>
        <w:rPr>
          <w:rFonts w:hint="eastAsia" w:ascii="黑体" w:eastAsia="黑体"/>
          <w:b w:val="0"/>
          <w:bCs w:val="0"/>
        </w:rPr>
        <w:t xml:space="preserve"> </w:t>
      </w:r>
      <w:r>
        <w:rPr>
          <w:rFonts w:hint="eastAsia" w:ascii="黑体" w:eastAsia="黑体"/>
          <w:b/>
          <w:bCs/>
        </w:rPr>
        <w:t xml:space="preserve"> </w:t>
      </w:r>
      <w:r>
        <w:rPr>
          <w:rFonts w:hint="eastAsia"/>
        </w:rPr>
        <w:t>当再生水为高碱度、高硬度水质时，宜根据</w:t>
      </w:r>
      <w:r>
        <w:rPr>
          <w:rFonts w:hint="eastAsia" w:ascii="宋体" w:hAnsi="宋体" w:eastAsia="宋体" w:cs="宋体"/>
        </w:rPr>
        <w:t>GB/T 50050</w:t>
      </w:r>
      <w:r>
        <w:rPr>
          <w:rFonts w:hint="eastAsia"/>
        </w:rPr>
        <w:t>采用石灰或弱酸树脂软化等处理方法。</w:t>
      </w:r>
    </w:p>
    <w:p w14:paraId="2DEFBEF8">
      <w:pPr>
        <w:spacing w:line="400" w:lineRule="exact"/>
        <w:outlineLvl w:val="1"/>
        <w:rPr>
          <w:rFonts w:ascii="黑体" w:eastAsia="黑体"/>
          <w:b w:val="0"/>
          <w:bCs w:val="0"/>
        </w:rPr>
      </w:pPr>
      <w:r>
        <w:rPr>
          <w:rFonts w:hint="eastAsia" w:ascii="黑体" w:hAnsi="黑体" w:eastAsia="黑体" w:cs="黑体"/>
          <w:b w:val="0"/>
          <w:bCs/>
          <w:kern w:val="0"/>
          <w:sz w:val="21"/>
          <w:szCs w:val="21"/>
          <w:lang w:val="en-US" w:eastAsia="zh-CN"/>
        </w:rPr>
        <w:t>8</w:t>
      </w:r>
      <w:r>
        <w:rPr>
          <w:rFonts w:hint="eastAsia" w:ascii="黑体" w:eastAsia="黑体"/>
          <w:b w:val="0"/>
          <w:bCs w:val="0"/>
        </w:rPr>
        <w:t>.</w:t>
      </w:r>
      <w:r>
        <w:rPr>
          <w:rFonts w:ascii="黑体" w:eastAsia="黑体"/>
          <w:b w:val="0"/>
          <w:bCs w:val="0"/>
        </w:rPr>
        <w:t>2</w:t>
      </w:r>
      <w:r>
        <w:rPr>
          <w:rFonts w:hint="eastAsia" w:ascii="黑体" w:eastAsia="黑体"/>
          <w:b w:val="0"/>
          <w:bCs w:val="0"/>
        </w:rPr>
        <w:t xml:space="preserve">  洗涤用水</w:t>
      </w:r>
    </w:p>
    <w:p w14:paraId="05225E78">
      <w:pPr>
        <w:spacing w:line="400" w:lineRule="exact"/>
        <w:ind w:firstLine="420" w:firstLineChars="200"/>
        <w:jc w:val="left"/>
      </w:pPr>
      <w:r>
        <w:t>再生水供水水质不能满足工业</w:t>
      </w:r>
      <w:r>
        <w:rPr>
          <w:rFonts w:hint="eastAsia"/>
        </w:rPr>
        <w:t>企业</w:t>
      </w:r>
      <w:r>
        <w:t>洗涤用水需求时，应采取适宜工艺，进行进一步处理。处理工艺选取见附录 C。</w:t>
      </w:r>
    </w:p>
    <w:p w14:paraId="112CB4EF">
      <w:pPr>
        <w:spacing w:line="400" w:lineRule="exact"/>
        <w:outlineLvl w:val="1"/>
        <w:rPr>
          <w:rFonts w:ascii="黑体" w:eastAsia="黑体"/>
          <w:b w:val="0"/>
          <w:bCs w:val="0"/>
        </w:rPr>
      </w:pPr>
      <w:r>
        <w:rPr>
          <w:rFonts w:hint="eastAsia" w:ascii="黑体" w:hAnsi="黑体" w:eastAsia="黑体" w:cs="黑体"/>
          <w:b w:val="0"/>
          <w:bCs/>
          <w:kern w:val="0"/>
          <w:sz w:val="21"/>
          <w:szCs w:val="21"/>
          <w:lang w:val="en-US" w:eastAsia="zh-CN"/>
        </w:rPr>
        <w:t>8</w:t>
      </w:r>
      <w:r>
        <w:rPr>
          <w:rFonts w:ascii="黑体" w:eastAsia="黑体"/>
          <w:b w:val="0"/>
          <w:bCs w:val="0"/>
        </w:rPr>
        <w:t xml:space="preserve">.3  </w:t>
      </w:r>
      <w:r>
        <w:rPr>
          <w:rFonts w:hint="eastAsia" w:ascii="黑体" w:eastAsia="黑体"/>
          <w:b w:val="0"/>
          <w:bCs w:val="0"/>
          <w:lang w:val="en-US" w:eastAsia="zh-CN"/>
        </w:rPr>
        <w:t>锅炉与供热管网补充水</w:t>
      </w:r>
    </w:p>
    <w:p w14:paraId="390DF3D7">
      <w:pPr>
        <w:spacing w:line="400" w:lineRule="exact"/>
        <w:jc w:val="left"/>
        <w:outlineLvl w:val="1"/>
      </w:pPr>
      <w:r>
        <w:rPr>
          <w:rFonts w:hint="eastAsia" w:ascii="黑体" w:hAnsi="黑体" w:eastAsia="黑体" w:cs="黑体"/>
          <w:b w:val="0"/>
          <w:bCs/>
          <w:kern w:val="0"/>
          <w:sz w:val="21"/>
          <w:szCs w:val="21"/>
          <w:lang w:val="en-US" w:eastAsia="zh-CN"/>
        </w:rPr>
        <w:t>8</w:t>
      </w:r>
      <w:r>
        <w:rPr>
          <w:rFonts w:ascii="黑体" w:eastAsia="黑体"/>
          <w:b w:val="0"/>
          <w:bCs w:val="0"/>
        </w:rPr>
        <w:t>.</w:t>
      </w:r>
      <w:r>
        <w:rPr>
          <w:rFonts w:hint="eastAsia" w:ascii="黑体" w:eastAsia="黑体"/>
          <w:b w:val="0"/>
          <w:bCs w:val="0"/>
          <w:lang w:val="en-US" w:eastAsia="zh-CN"/>
        </w:rPr>
        <w:t>3</w:t>
      </w:r>
      <w:r>
        <w:rPr>
          <w:rFonts w:ascii="黑体" w:eastAsia="黑体"/>
          <w:b w:val="0"/>
          <w:bCs w:val="0"/>
        </w:rPr>
        <w:t>.1</w:t>
      </w:r>
      <w:r>
        <w:rPr>
          <w:rFonts w:hint="eastAsia" w:ascii="黑体" w:eastAsia="黑体"/>
          <w:b/>
          <w:bCs/>
          <w:lang w:val="en-US" w:eastAsia="zh-CN"/>
        </w:rPr>
        <w:t xml:space="preserve">  </w:t>
      </w:r>
      <w:r>
        <w:t>再生水供水水质不能满足工业</w:t>
      </w:r>
      <w:r>
        <w:rPr>
          <w:rFonts w:hint="eastAsia"/>
        </w:rPr>
        <w:t>企业</w:t>
      </w:r>
      <w:r>
        <w:t>锅炉补给水需求时，应采取适宜工艺，进行进一步处理。处理工艺选取见附录 C。</w:t>
      </w:r>
    </w:p>
    <w:p w14:paraId="0C8FA066">
      <w:pPr>
        <w:spacing w:line="400" w:lineRule="exact"/>
        <w:jc w:val="left"/>
        <w:outlineLvl w:val="1"/>
      </w:pPr>
      <w:r>
        <w:rPr>
          <w:rFonts w:hint="eastAsia" w:ascii="黑体" w:hAnsi="黑体" w:eastAsia="黑体" w:cs="黑体"/>
          <w:b w:val="0"/>
          <w:bCs/>
          <w:kern w:val="0"/>
          <w:sz w:val="21"/>
          <w:szCs w:val="21"/>
          <w:lang w:val="en-US" w:eastAsia="zh-CN"/>
        </w:rPr>
        <w:t>8</w:t>
      </w:r>
      <w:r>
        <w:rPr>
          <w:rFonts w:ascii="黑体" w:eastAsia="黑体"/>
          <w:b w:val="0"/>
          <w:bCs w:val="0"/>
        </w:rPr>
        <w:t>.</w:t>
      </w:r>
      <w:r>
        <w:rPr>
          <w:rFonts w:hint="eastAsia" w:ascii="黑体" w:eastAsia="黑体"/>
          <w:b w:val="0"/>
          <w:bCs w:val="0"/>
          <w:lang w:val="en-US" w:eastAsia="zh-CN"/>
        </w:rPr>
        <w:t>3</w:t>
      </w:r>
      <w:r>
        <w:rPr>
          <w:rFonts w:ascii="黑体" w:eastAsia="黑体"/>
          <w:b w:val="0"/>
          <w:bCs w:val="0"/>
        </w:rPr>
        <w:t>.2</w:t>
      </w:r>
      <w:r>
        <w:rPr>
          <w:rFonts w:hint="eastAsia" w:eastAsia="黑体"/>
          <w:b w:val="0"/>
          <w:bCs w:val="0"/>
          <w:lang w:val="en-US" w:eastAsia="zh-CN"/>
        </w:rPr>
        <w:t xml:space="preserve">  </w:t>
      </w:r>
      <w:r>
        <w:t>当附录 C 工艺流程尚不能满足</w:t>
      </w:r>
      <w:r>
        <w:rPr>
          <w:rFonts w:hint="eastAsia"/>
        </w:rPr>
        <w:t>工业企业</w:t>
      </w:r>
      <w:r>
        <w:t>水质要求时，可增加离子交换或电渗析除盐等深度处理单元。 深度处理单元的工艺设计和运行参数宜符合</w:t>
      </w:r>
      <w:r>
        <w:rPr>
          <w:rFonts w:hint="eastAsia" w:ascii="宋体" w:hAnsi="宋体" w:eastAsia="宋体" w:cs="宋体"/>
        </w:rPr>
        <w:t xml:space="preserve"> GB/T 50109 和 DL 5068</w:t>
      </w:r>
      <w:r>
        <w:t xml:space="preserve"> 等相关标准的</w:t>
      </w:r>
      <w:r>
        <w:rPr>
          <w:rFonts w:hint="eastAsia"/>
        </w:rPr>
        <w:t>要求</w:t>
      </w:r>
      <w:r>
        <w:t>。</w:t>
      </w:r>
    </w:p>
    <w:p w14:paraId="4823AA5A">
      <w:pPr>
        <w:spacing w:line="400" w:lineRule="exact"/>
        <w:outlineLvl w:val="1"/>
        <w:rPr>
          <w:rFonts w:ascii="黑体" w:eastAsia="黑体"/>
          <w:b w:val="0"/>
          <w:bCs w:val="0"/>
        </w:rPr>
      </w:pPr>
      <w:r>
        <w:rPr>
          <w:rFonts w:hint="eastAsia" w:ascii="黑体" w:hAnsi="黑体" w:eastAsia="黑体" w:cs="黑体"/>
          <w:b w:val="0"/>
          <w:bCs/>
          <w:kern w:val="0"/>
          <w:sz w:val="21"/>
          <w:szCs w:val="21"/>
          <w:lang w:val="en-US" w:eastAsia="zh-CN"/>
        </w:rPr>
        <w:t>8</w:t>
      </w:r>
      <w:r>
        <w:rPr>
          <w:rFonts w:ascii="黑体" w:eastAsia="黑体"/>
          <w:b w:val="0"/>
          <w:bCs w:val="0"/>
        </w:rPr>
        <w:t>.4</w:t>
      </w:r>
      <w:r>
        <w:rPr>
          <w:rFonts w:hint="eastAsia" w:ascii="黑体" w:eastAsia="黑体"/>
          <w:b w:val="0"/>
          <w:bCs w:val="0"/>
          <w:lang w:val="en-US" w:eastAsia="zh-CN"/>
        </w:rPr>
        <w:t xml:space="preserve">  </w:t>
      </w:r>
      <w:r>
        <w:rPr>
          <w:rFonts w:hint="eastAsia" w:ascii="黑体" w:eastAsia="黑体"/>
          <w:b w:val="0"/>
          <w:bCs w:val="0"/>
        </w:rPr>
        <w:t>工艺用水</w:t>
      </w:r>
    </w:p>
    <w:p w14:paraId="36B22845">
      <w:pPr>
        <w:spacing w:line="400" w:lineRule="exact"/>
        <w:ind w:firstLine="420" w:firstLineChars="200"/>
        <w:jc w:val="left"/>
      </w:pPr>
      <w:r>
        <w:t>再生水用作工艺用水时，宜根据再生水水质、工艺用水水质要求和技术经济比较选择处理工艺。处理工艺选取见附录 C。</w:t>
      </w:r>
    </w:p>
    <w:p w14:paraId="026AA9DD">
      <w:pPr>
        <w:spacing w:line="400" w:lineRule="exact"/>
        <w:outlineLvl w:val="1"/>
        <w:rPr>
          <w:rFonts w:ascii="黑体" w:eastAsia="黑体"/>
          <w:b w:val="0"/>
          <w:bCs w:val="0"/>
        </w:rPr>
      </w:pPr>
      <w:r>
        <w:rPr>
          <w:rFonts w:hint="eastAsia" w:ascii="黑体" w:hAnsi="黑体" w:eastAsia="黑体" w:cs="黑体"/>
          <w:b w:val="0"/>
          <w:bCs/>
          <w:kern w:val="0"/>
          <w:sz w:val="21"/>
          <w:szCs w:val="21"/>
          <w:lang w:val="en-US" w:eastAsia="zh-CN"/>
        </w:rPr>
        <w:t>8</w:t>
      </w:r>
      <w:r>
        <w:rPr>
          <w:rFonts w:ascii="黑体" w:eastAsia="黑体"/>
          <w:b w:val="0"/>
          <w:bCs w:val="0"/>
        </w:rPr>
        <w:t xml:space="preserve">.5  </w:t>
      </w:r>
      <w:r>
        <w:rPr>
          <w:rFonts w:hint="eastAsia" w:ascii="黑体" w:eastAsia="黑体"/>
          <w:b w:val="0"/>
          <w:bCs w:val="0"/>
          <w:lang w:val="en-US" w:eastAsia="zh-CN"/>
        </w:rPr>
        <w:t>产品</w:t>
      </w:r>
      <w:r>
        <w:rPr>
          <w:rFonts w:hint="eastAsia" w:ascii="黑体" w:eastAsia="黑体"/>
          <w:b w:val="0"/>
          <w:bCs w:val="0"/>
        </w:rPr>
        <w:t>用水</w:t>
      </w:r>
    </w:p>
    <w:p w14:paraId="77658934">
      <w:pPr>
        <w:spacing w:line="400" w:lineRule="exact"/>
        <w:jc w:val="left"/>
        <w:outlineLvl w:val="1"/>
      </w:pPr>
      <w:r>
        <w:rPr>
          <w:rFonts w:hint="eastAsia" w:ascii="黑体" w:hAnsi="黑体" w:eastAsia="黑体" w:cs="黑体"/>
          <w:b w:val="0"/>
          <w:bCs/>
          <w:kern w:val="0"/>
          <w:sz w:val="21"/>
          <w:szCs w:val="21"/>
          <w:lang w:val="en-US" w:eastAsia="zh-CN"/>
        </w:rPr>
        <w:t>8</w:t>
      </w:r>
      <w:r>
        <w:rPr>
          <w:rFonts w:ascii="黑体" w:eastAsia="黑体"/>
          <w:b w:val="0"/>
          <w:bCs w:val="0"/>
        </w:rPr>
        <w:t>.5.1</w:t>
      </w:r>
      <w:r>
        <w:rPr>
          <w:b w:val="0"/>
          <w:bCs w:val="0"/>
        </w:rPr>
        <w:t xml:space="preserve">  </w:t>
      </w:r>
      <w:r>
        <w:t xml:space="preserve">  </w:t>
      </w:r>
      <w:r>
        <w:rPr>
          <w:rFonts w:hint="eastAsia"/>
        </w:rPr>
        <w:t>再生水</w:t>
      </w:r>
      <w:r>
        <w:t>用作高纯清洗用水时，应采取适宜工艺，进行进一步处理。处理工艺选取见附录 C。</w:t>
      </w:r>
    </w:p>
    <w:p w14:paraId="7AC18BBF">
      <w:pPr>
        <w:spacing w:line="400" w:lineRule="exact"/>
        <w:jc w:val="left"/>
        <w:outlineLvl w:val="1"/>
      </w:pPr>
      <w:r>
        <w:rPr>
          <w:rFonts w:hint="eastAsia" w:ascii="黑体" w:hAnsi="黑体" w:eastAsia="黑体" w:cs="黑体"/>
          <w:b w:val="0"/>
          <w:bCs/>
          <w:kern w:val="0"/>
          <w:sz w:val="21"/>
          <w:szCs w:val="21"/>
          <w:lang w:val="en-US" w:eastAsia="zh-CN"/>
        </w:rPr>
        <w:t>8</w:t>
      </w:r>
      <w:r>
        <w:rPr>
          <w:rFonts w:ascii="黑体" w:eastAsia="黑体"/>
          <w:b w:val="0"/>
          <w:bCs w:val="0"/>
        </w:rPr>
        <w:t>.5.2</w:t>
      </w:r>
      <w:r>
        <w:rPr>
          <w:b w:val="0"/>
          <w:bCs w:val="0"/>
        </w:rPr>
        <w:t xml:space="preserve"> </w:t>
      </w:r>
      <w:r>
        <w:t xml:space="preserve">   超纯水制备单元的工艺设计、运行参数和处理效率宜通过试验或按国内外已建成的工程实例确定。 </w:t>
      </w:r>
    </w:p>
    <w:p w14:paraId="6F2B1E4F">
      <w:pPr>
        <w:pStyle w:val="3"/>
        <w:spacing w:before="156" w:beforeLines="50" w:after="156" w:afterLines="50" w:line="460" w:lineRule="exact"/>
        <w:rPr>
          <w:rFonts w:hint="eastAsia" w:ascii="黑体" w:hAnsi="黑体" w:eastAsia="黑体" w:cs="黑体"/>
          <w:b w:val="0"/>
          <w:bCs/>
          <w:kern w:val="0"/>
          <w:sz w:val="21"/>
          <w:szCs w:val="21"/>
          <w:lang w:val="en-US" w:eastAsia="zh-CN"/>
        </w:rPr>
      </w:pPr>
      <w:bookmarkStart w:id="16" w:name="_Toc28602"/>
      <w:r>
        <w:rPr>
          <w:rFonts w:hint="eastAsia" w:ascii="黑体" w:hAnsi="黑体" w:eastAsia="黑体" w:cs="黑体"/>
          <w:b w:val="0"/>
          <w:bCs/>
          <w:kern w:val="0"/>
          <w:sz w:val="21"/>
          <w:szCs w:val="21"/>
          <w:lang w:val="en-US" w:eastAsia="zh-CN"/>
        </w:rPr>
        <w:t>9  安全保障措施</w:t>
      </w:r>
      <w:bookmarkEnd w:id="16"/>
    </w:p>
    <w:bookmarkEnd w:id="4"/>
    <w:p w14:paraId="289AA8B6">
      <w:pPr>
        <w:spacing w:line="400" w:lineRule="exact"/>
        <w:outlineLvl w:val="1"/>
        <w:rPr>
          <w:rFonts w:ascii="黑体" w:eastAsia="黑体"/>
          <w:b w:val="0"/>
          <w:bCs/>
        </w:rPr>
      </w:pPr>
      <w:bookmarkStart w:id="17" w:name="SectionMark5"/>
      <w:r>
        <w:rPr>
          <w:rFonts w:hint="eastAsia" w:ascii="黑体" w:hAnsi="黑体" w:eastAsia="黑体" w:cs="黑体"/>
          <w:b w:val="0"/>
          <w:bCs/>
          <w:kern w:val="0"/>
          <w:sz w:val="21"/>
          <w:szCs w:val="21"/>
          <w:lang w:val="en-US" w:eastAsia="zh-CN"/>
        </w:rPr>
        <w:t>9</w:t>
      </w:r>
      <w:r>
        <w:rPr>
          <w:rFonts w:hint="eastAsia" w:ascii="黑体" w:eastAsia="黑体"/>
          <w:b w:val="0"/>
          <w:bCs/>
        </w:rPr>
        <w:t>.</w:t>
      </w:r>
      <w:r>
        <w:rPr>
          <w:rFonts w:ascii="黑体" w:eastAsia="黑体"/>
          <w:b w:val="0"/>
          <w:bCs/>
        </w:rPr>
        <w:t>1</w:t>
      </w:r>
      <w:r>
        <w:rPr>
          <w:rFonts w:hint="eastAsia" w:ascii="黑体" w:eastAsia="黑体"/>
          <w:b w:val="0"/>
          <w:bCs/>
        </w:rPr>
        <w:t xml:space="preserve">  冷却用水</w:t>
      </w:r>
    </w:p>
    <w:p w14:paraId="6C0B4529">
      <w:pPr>
        <w:pStyle w:val="2"/>
        <w:wordWrap/>
        <w:spacing w:line="400" w:lineRule="exact"/>
        <w:jc w:val="left"/>
        <w:rPr>
          <w:rFonts w:ascii="黑体" w:eastAsia="黑体"/>
          <w:b w:val="0"/>
          <w:bCs/>
          <w:color w:val="auto"/>
          <w:position w:val="0"/>
          <w:sz w:val="21"/>
        </w:rPr>
      </w:pPr>
      <w:r>
        <w:rPr>
          <w:rFonts w:hint="eastAsia" w:ascii="黑体" w:hAnsi="黑体" w:eastAsia="黑体" w:cs="黑体"/>
          <w:b w:val="0"/>
          <w:bCs/>
          <w:color w:val="auto"/>
          <w:kern w:val="0"/>
          <w:position w:val="0"/>
          <w:sz w:val="21"/>
          <w:szCs w:val="21"/>
          <w:lang w:val="en-US" w:eastAsia="zh-CN" w:bidi="ar-SA"/>
        </w:rPr>
        <w:t xml:space="preserve">9.1.1 </w:t>
      </w:r>
      <w:r>
        <w:rPr>
          <w:rFonts w:ascii="黑体" w:eastAsia="黑体"/>
          <w:b w:val="0"/>
          <w:bCs/>
          <w:color w:val="auto"/>
          <w:position w:val="0"/>
          <w:sz w:val="21"/>
        </w:rPr>
        <w:t xml:space="preserve"> </w:t>
      </w:r>
      <w:r>
        <w:rPr>
          <w:b w:val="0"/>
          <w:bCs/>
          <w:color w:val="auto"/>
          <w:position w:val="0"/>
          <w:sz w:val="21"/>
        </w:rPr>
        <w:t>宜重点关注冷却系统的结垢、腐蚀和微生物生长风险。</w:t>
      </w:r>
      <w:r>
        <w:rPr>
          <w:rFonts w:ascii="黑体" w:eastAsia="黑体"/>
          <w:b w:val="0"/>
          <w:bCs/>
          <w:color w:val="auto"/>
          <w:position w:val="0"/>
          <w:sz w:val="21"/>
        </w:rPr>
        <w:t xml:space="preserve"> </w:t>
      </w:r>
    </w:p>
    <w:p w14:paraId="4FE22232">
      <w:pPr>
        <w:pStyle w:val="2"/>
        <w:wordWrap/>
        <w:spacing w:line="400" w:lineRule="exact"/>
        <w:jc w:val="left"/>
        <w:rPr>
          <w:b w:val="0"/>
          <w:bCs/>
          <w:color w:val="auto"/>
          <w:position w:val="0"/>
          <w:sz w:val="21"/>
        </w:rPr>
      </w:pPr>
      <w:r>
        <w:rPr>
          <w:rFonts w:hint="eastAsia" w:ascii="黑体" w:hAnsi="黑体" w:eastAsia="黑体" w:cs="黑体"/>
          <w:b w:val="0"/>
          <w:bCs/>
          <w:color w:val="auto"/>
          <w:kern w:val="0"/>
          <w:position w:val="0"/>
          <w:sz w:val="21"/>
          <w:szCs w:val="21"/>
          <w:lang w:val="en-US" w:eastAsia="zh-CN" w:bidi="ar-SA"/>
        </w:rPr>
        <w:t>9.1</w:t>
      </w:r>
      <w:r>
        <w:rPr>
          <w:rFonts w:ascii="黑体" w:eastAsia="黑体"/>
          <w:b w:val="0"/>
          <w:bCs/>
          <w:color w:val="auto"/>
          <w:position w:val="0"/>
          <w:sz w:val="21"/>
        </w:rPr>
        <w:t xml:space="preserve">.2  </w:t>
      </w:r>
      <w:r>
        <w:rPr>
          <w:b w:val="0"/>
          <w:bCs/>
          <w:color w:val="auto"/>
          <w:position w:val="0"/>
          <w:sz w:val="21"/>
        </w:rPr>
        <w:t xml:space="preserve">宜评价再生水的化学稳定性，并通过投加合适的阻垢缓蚀剂、调节冷却系统浓缩倍数、采用抗腐蚀管材等方法，防止冷却系统的结垢、腐蚀风险。 </w:t>
      </w:r>
    </w:p>
    <w:p w14:paraId="4D5C6163">
      <w:pPr>
        <w:pStyle w:val="2"/>
        <w:wordWrap/>
        <w:spacing w:line="400" w:lineRule="exact"/>
        <w:jc w:val="left"/>
        <w:rPr>
          <w:rFonts w:ascii="黑体" w:eastAsia="黑体"/>
          <w:b w:val="0"/>
          <w:bCs/>
          <w:color w:val="auto"/>
          <w:position w:val="0"/>
          <w:sz w:val="21"/>
        </w:rPr>
      </w:pPr>
      <w:r>
        <w:rPr>
          <w:rFonts w:hint="eastAsia" w:ascii="黑体" w:hAnsi="黑体" w:eastAsia="黑体" w:cs="黑体"/>
          <w:b w:val="0"/>
          <w:bCs/>
          <w:color w:val="auto"/>
          <w:kern w:val="0"/>
          <w:position w:val="0"/>
          <w:sz w:val="21"/>
          <w:szCs w:val="21"/>
          <w:lang w:val="en-US" w:eastAsia="zh-CN" w:bidi="ar-SA"/>
        </w:rPr>
        <w:t>9.1</w:t>
      </w:r>
      <w:r>
        <w:rPr>
          <w:rFonts w:ascii="黑体" w:eastAsia="黑体"/>
          <w:b w:val="0"/>
          <w:bCs/>
          <w:color w:val="auto"/>
          <w:position w:val="0"/>
          <w:sz w:val="21"/>
        </w:rPr>
        <w:t xml:space="preserve">.3  </w:t>
      </w:r>
      <w:r>
        <w:rPr>
          <w:b w:val="0"/>
          <w:bCs/>
          <w:color w:val="auto"/>
          <w:position w:val="0"/>
          <w:sz w:val="21"/>
        </w:rPr>
        <w:t>阻垢缓蚀药剂宜选择高效、低毒、复配性能好的环境友好型水处理药剂，投加方式可采用连续投加。</w:t>
      </w:r>
      <w:r>
        <w:rPr>
          <w:rFonts w:ascii="黑体" w:eastAsia="黑体"/>
          <w:b w:val="0"/>
          <w:bCs/>
          <w:color w:val="auto"/>
          <w:position w:val="0"/>
          <w:sz w:val="21"/>
        </w:rPr>
        <w:t xml:space="preserve"> </w:t>
      </w:r>
    </w:p>
    <w:p w14:paraId="43B7668C">
      <w:pPr>
        <w:pStyle w:val="2"/>
        <w:wordWrap/>
        <w:spacing w:line="400" w:lineRule="exact"/>
        <w:jc w:val="left"/>
        <w:rPr>
          <w:b w:val="0"/>
          <w:bCs/>
          <w:color w:val="auto"/>
          <w:position w:val="0"/>
          <w:sz w:val="21"/>
        </w:rPr>
      </w:pPr>
      <w:r>
        <w:rPr>
          <w:rFonts w:hint="eastAsia" w:ascii="黑体" w:hAnsi="黑体" w:eastAsia="黑体" w:cs="黑体"/>
          <w:b w:val="0"/>
          <w:bCs/>
          <w:color w:val="auto"/>
          <w:kern w:val="0"/>
          <w:position w:val="0"/>
          <w:sz w:val="21"/>
          <w:szCs w:val="21"/>
          <w:lang w:val="en-US" w:eastAsia="zh-CN" w:bidi="ar-SA"/>
        </w:rPr>
        <w:t>9.1</w:t>
      </w:r>
      <w:r>
        <w:rPr>
          <w:rFonts w:ascii="黑体" w:eastAsia="黑体"/>
          <w:b w:val="0"/>
          <w:bCs/>
          <w:color w:val="auto"/>
          <w:position w:val="0"/>
          <w:sz w:val="21"/>
        </w:rPr>
        <w:t>.4</w:t>
      </w:r>
      <w:r>
        <w:rPr>
          <w:b w:val="0"/>
          <w:bCs/>
          <w:color w:val="auto"/>
          <w:position w:val="0"/>
          <w:sz w:val="21"/>
        </w:rPr>
        <w:t xml:space="preserve">    宜评价再生水的生物稳定性，并通过投加合适的抑菌剂、去除可同化有机碳等方法防止微生物 生长。 </w:t>
      </w:r>
    </w:p>
    <w:p w14:paraId="71EE1ABC">
      <w:pPr>
        <w:pStyle w:val="2"/>
        <w:wordWrap/>
        <w:spacing w:line="400" w:lineRule="exact"/>
        <w:jc w:val="left"/>
        <w:rPr>
          <w:b w:val="0"/>
          <w:bCs/>
          <w:color w:val="auto"/>
          <w:position w:val="0"/>
          <w:sz w:val="21"/>
        </w:rPr>
      </w:pPr>
      <w:r>
        <w:rPr>
          <w:rFonts w:hint="eastAsia" w:ascii="黑体" w:hAnsi="黑体" w:eastAsia="黑体" w:cs="黑体"/>
          <w:b w:val="0"/>
          <w:bCs/>
          <w:color w:val="auto"/>
          <w:kern w:val="0"/>
          <w:position w:val="0"/>
          <w:sz w:val="21"/>
          <w:szCs w:val="21"/>
          <w:lang w:val="en-US" w:eastAsia="zh-CN" w:bidi="ar-SA"/>
        </w:rPr>
        <w:t>9.1</w:t>
      </w:r>
      <w:r>
        <w:rPr>
          <w:rFonts w:ascii="黑体" w:eastAsia="黑体"/>
          <w:b w:val="0"/>
          <w:bCs/>
          <w:color w:val="auto"/>
          <w:position w:val="0"/>
          <w:sz w:val="21"/>
        </w:rPr>
        <w:t xml:space="preserve">.5  </w:t>
      </w:r>
      <w:r>
        <w:rPr>
          <w:b w:val="0"/>
          <w:bCs/>
          <w:color w:val="auto"/>
          <w:position w:val="0"/>
          <w:sz w:val="21"/>
        </w:rPr>
        <w:t xml:space="preserve">抑菌剂配方宜根据水质和技术经济比较确定。 </w:t>
      </w:r>
    </w:p>
    <w:p w14:paraId="4BB2EDDD">
      <w:pPr>
        <w:pStyle w:val="2"/>
        <w:wordWrap/>
        <w:spacing w:line="400" w:lineRule="exact"/>
        <w:jc w:val="left"/>
        <w:rPr>
          <w:rFonts w:ascii="黑体" w:eastAsia="黑体"/>
          <w:b w:val="0"/>
          <w:bCs/>
          <w:color w:val="auto"/>
          <w:position w:val="0"/>
          <w:sz w:val="21"/>
        </w:rPr>
      </w:pPr>
      <w:r>
        <w:rPr>
          <w:rFonts w:hint="eastAsia" w:ascii="黑体" w:hAnsi="黑体" w:eastAsia="黑体" w:cs="黑体"/>
          <w:b w:val="0"/>
          <w:bCs/>
          <w:color w:val="auto"/>
          <w:kern w:val="0"/>
          <w:position w:val="0"/>
          <w:sz w:val="21"/>
          <w:szCs w:val="21"/>
          <w:lang w:val="en-US" w:eastAsia="zh-CN" w:bidi="ar-SA"/>
        </w:rPr>
        <w:t>9.1</w:t>
      </w:r>
      <w:r>
        <w:rPr>
          <w:rFonts w:ascii="黑体" w:eastAsia="黑体"/>
          <w:b w:val="0"/>
          <w:bCs/>
          <w:color w:val="auto"/>
          <w:position w:val="0"/>
          <w:sz w:val="21"/>
        </w:rPr>
        <w:t xml:space="preserve">.6  </w:t>
      </w:r>
      <w:r>
        <w:rPr>
          <w:b w:val="0"/>
          <w:bCs/>
          <w:color w:val="auto"/>
          <w:position w:val="0"/>
          <w:sz w:val="21"/>
        </w:rPr>
        <w:t>抑菌剂可选择氧化性抑菌剂或非氧化性抑菌剂，投加方式可采用连续投加或冲击式投加。</w:t>
      </w:r>
      <w:r>
        <w:rPr>
          <w:rFonts w:ascii="黑体" w:eastAsia="黑体"/>
          <w:b w:val="0"/>
          <w:bCs/>
          <w:color w:val="auto"/>
          <w:position w:val="0"/>
          <w:sz w:val="21"/>
        </w:rPr>
        <w:t xml:space="preserve"> </w:t>
      </w:r>
      <w:r>
        <w:rPr>
          <w:rFonts w:hint="eastAsia" w:ascii="黑体" w:hAnsi="黑体" w:eastAsia="黑体" w:cs="黑体"/>
          <w:b w:val="0"/>
          <w:bCs/>
          <w:color w:val="auto"/>
          <w:kern w:val="0"/>
          <w:position w:val="0"/>
          <w:sz w:val="21"/>
          <w:szCs w:val="21"/>
          <w:lang w:val="en-US" w:eastAsia="zh-CN" w:bidi="ar-SA"/>
        </w:rPr>
        <w:t>9.1</w:t>
      </w:r>
      <w:r>
        <w:rPr>
          <w:rFonts w:ascii="黑体" w:eastAsia="黑体"/>
          <w:b w:val="0"/>
          <w:bCs/>
          <w:color w:val="auto"/>
          <w:position w:val="0"/>
          <w:sz w:val="21"/>
        </w:rPr>
        <w:t xml:space="preserve">.7  </w:t>
      </w:r>
      <w:r>
        <w:rPr>
          <w:rFonts w:hint="eastAsia" w:ascii="宋体" w:hAnsi="宋体" w:eastAsia="宋体" w:cs="宋体"/>
          <w:b w:val="0"/>
          <w:bCs/>
          <w:color w:val="auto"/>
          <w:position w:val="0"/>
          <w:sz w:val="21"/>
        </w:rPr>
        <w:t>氧化性抑菌剂宜采用次氯酸钠、液氯等。次氯酸钠或液氯连续投加时，宜控制循环冷却水中余 氯为 0.1 mg/L～0.5 mg/L；冲击投加时，宜每天投加 1 次～3 次，每次投加时宜控制水中余氯 0.5 mg/L～1 mg/L，保持 2 h～3 h。</w:t>
      </w:r>
    </w:p>
    <w:p w14:paraId="71F11F37">
      <w:pPr>
        <w:pStyle w:val="2"/>
        <w:wordWrap/>
        <w:spacing w:line="400" w:lineRule="exact"/>
        <w:jc w:val="left"/>
        <w:rPr>
          <w:b w:val="0"/>
          <w:bCs/>
          <w:color w:val="auto"/>
          <w:position w:val="0"/>
          <w:sz w:val="21"/>
        </w:rPr>
      </w:pPr>
      <w:r>
        <w:rPr>
          <w:rFonts w:hint="eastAsia" w:ascii="黑体" w:hAnsi="黑体" w:eastAsia="黑体" w:cs="黑体"/>
          <w:b w:val="0"/>
          <w:bCs/>
          <w:color w:val="auto"/>
          <w:kern w:val="0"/>
          <w:position w:val="0"/>
          <w:sz w:val="21"/>
          <w:szCs w:val="21"/>
          <w:lang w:val="en-US" w:eastAsia="zh-CN" w:bidi="ar-SA"/>
        </w:rPr>
        <w:t>9.1</w:t>
      </w:r>
      <w:r>
        <w:rPr>
          <w:rFonts w:ascii="黑体" w:eastAsia="黑体"/>
          <w:b w:val="0"/>
          <w:bCs/>
          <w:color w:val="auto"/>
          <w:position w:val="0"/>
          <w:sz w:val="21"/>
        </w:rPr>
        <w:t xml:space="preserve">.8  </w:t>
      </w:r>
      <w:r>
        <w:rPr>
          <w:b w:val="0"/>
          <w:bCs/>
          <w:color w:val="auto"/>
          <w:position w:val="0"/>
          <w:sz w:val="21"/>
        </w:rPr>
        <w:t>非氧化性抑菌剂宜采用高效、低毒、广谱、与阻垢缓蚀剂不互相干扰、易于处理的抑菌剂。</w:t>
      </w:r>
    </w:p>
    <w:p w14:paraId="53B76372">
      <w:pPr>
        <w:spacing w:line="400" w:lineRule="exact"/>
        <w:outlineLvl w:val="1"/>
        <w:rPr>
          <w:rFonts w:ascii="黑体" w:eastAsia="黑体"/>
          <w:b w:val="0"/>
          <w:bCs/>
        </w:rPr>
      </w:pPr>
      <w:r>
        <w:rPr>
          <w:rFonts w:hint="eastAsia" w:ascii="黑体" w:eastAsia="黑体"/>
          <w:b w:val="0"/>
          <w:bCs/>
          <w:lang w:val="en-US" w:eastAsia="zh-CN"/>
        </w:rPr>
        <w:t>9</w:t>
      </w:r>
      <w:r>
        <w:rPr>
          <w:rFonts w:hint="eastAsia" w:ascii="黑体" w:eastAsia="黑体"/>
          <w:b w:val="0"/>
          <w:bCs/>
        </w:rPr>
        <w:t>.</w:t>
      </w:r>
      <w:r>
        <w:rPr>
          <w:rFonts w:ascii="黑体" w:eastAsia="黑体"/>
          <w:b w:val="0"/>
          <w:bCs/>
        </w:rPr>
        <w:t>2</w:t>
      </w:r>
      <w:r>
        <w:rPr>
          <w:rFonts w:hint="eastAsia" w:ascii="黑体" w:eastAsia="黑体"/>
          <w:b w:val="0"/>
          <w:bCs/>
          <w:lang w:val="en-US" w:eastAsia="zh-CN"/>
        </w:rPr>
        <w:t xml:space="preserve">  锅炉与供热管网补充水</w:t>
      </w:r>
    </w:p>
    <w:p w14:paraId="7C66FAB4">
      <w:pPr>
        <w:spacing w:line="400" w:lineRule="exact"/>
        <w:jc w:val="left"/>
        <w:outlineLvl w:val="1"/>
        <w:rPr>
          <w:b w:val="0"/>
          <w:bCs/>
        </w:rPr>
      </w:pPr>
      <w:r>
        <w:rPr>
          <w:rFonts w:hint="eastAsia" w:ascii="黑体" w:eastAsia="黑体"/>
          <w:b w:val="0"/>
          <w:bCs/>
          <w:lang w:val="en-US" w:eastAsia="zh-CN"/>
        </w:rPr>
        <w:t>9</w:t>
      </w:r>
      <w:r>
        <w:rPr>
          <w:rFonts w:ascii="黑体" w:eastAsia="黑体"/>
          <w:b w:val="0"/>
          <w:bCs/>
        </w:rPr>
        <w:t xml:space="preserve">.2.1  </w:t>
      </w:r>
      <w:r>
        <w:rPr>
          <w:b w:val="0"/>
          <w:bCs/>
        </w:rPr>
        <w:t>宜控制水中的硬度、碱度和有机物等指标，防止锅炉系统的结垢、腐蚀风险。</w:t>
      </w:r>
    </w:p>
    <w:p w14:paraId="7009D237">
      <w:pPr>
        <w:spacing w:line="400" w:lineRule="exact"/>
        <w:jc w:val="left"/>
        <w:outlineLvl w:val="1"/>
        <w:rPr>
          <w:b w:val="0"/>
          <w:bCs/>
        </w:rPr>
      </w:pPr>
      <w:r>
        <w:rPr>
          <w:rFonts w:hint="eastAsia" w:ascii="黑体" w:eastAsia="黑体"/>
          <w:b w:val="0"/>
          <w:bCs/>
          <w:lang w:val="en-US" w:eastAsia="zh-CN"/>
        </w:rPr>
        <w:t>9</w:t>
      </w:r>
      <w:r>
        <w:rPr>
          <w:rFonts w:ascii="黑体" w:eastAsia="黑体"/>
          <w:b w:val="0"/>
          <w:bCs/>
        </w:rPr>
        <w:t>.2.2</w:t>
      </w:r>
      <w:r>
        <w:rPr>
          <w:b w:val="0"/>
          <w:bCs/>
        </w:rPr>
        <w:t xml:space="preserve">    电站锅炉水质异常时，按 </w:t>
      </w:r>
      <w:r>
        <w:rPr>
          <w:rFonts w:hint="eastAsia" w:ascii="宋体" w:hAnsi="宋体" w:eastAsia="宋体" w:cs="宋体"/>
          <w:b w:val="0"/>
          <w:bCs/>
        </w:rPr>
        <w:t>GB/T 12145</w:t>
      </w:r>
      <w:r>
        <w:rPr>
          <w:b w:val="0"/>
          <w:bCs/>
        </w:rPr>
        <w:t xml:space="preserve"> 的要求进行处理，防止锅炉系统腐蚀、结垢。 </w:t>
      </w:r>
    </w:p>
    <w:p w14:paraId="4BDA8E08">
      <w:pPr>
        <w:spacing w:line="400" w:lineRule="exact"/>
        <w:outlineLvl w:val="1"/>
        <w:rPr>
          <w:rFonts w:ascii="黑体" w:eastAsia="黑体"/>
          <w:b w:val="0"/>
          <w:bCs/>
        </w:rPr>
      </w:pPr>
      <w:r>
        <w:rPr>
          <w:rFonts w:hint="eastAsia" w:ascii="黑体" w:eastAsia="黑体"/>
          <w:b w:val="0"/>
          <w:bCs/>
          <w:lang w:val="en-US" w:eastAsia="zh-CN"/>
        </w:rPr>
        <w:t>9</w:t>
      </w:r>
      <w:r>
        <w:rPr>
          <w:rFonts w:hint="eastAsia" w:ascii="黑体" w:eastAsia="黑体"/>
          <w:b w:val="0"/>
          <w:bCs/>
        </w:rPr>
        <w:t>.</w:t>
      </w:r>
      <w:r>
        <w:rPr>
          <w:rFonts w:ascii="黑体" w:eastAsia="黑体"/>
          <w:b w:val="0"/>
          <w:bCs/>
        </w:rPr>
        <w:t>3</w:t>
      </w:r>
      <w:r>
        <w:rPr>
          <w:rFonts w:hint="eastAsia" w:ascii="黑体" w:eastAsia="黑体"/>
          <w:b w:val="0"/>
          <w:bCs/>
        </w:rPr>
        <w:t xml:space="preserve">  工艺用水</w:t>
      </w:r>
    </w:p>
    <w:p w14:paraId="7C6400AB">
      <w:pPr>
        <w:spacing w:line="400" w:lineRule="exact"/>
        <w:jc w:val="left"/>
        <w:outlineLvl w:val="1"/>
        <w:rPr>
          <w:b w:val="0"/>
          <w:bCs/>
        </w:rPr>
      </w:pPr>
      <w:r>
        <w:rPr>
          <w:rFonts w:hint="eastAsia" w:ascii="黑体" w:eastAsia="黑体"/>
          <w:b w:val="0"/>
          <w:bCs/>
          <w:lang w:val="en-US" w:eastAsia="zh-CN"/>
        </w:rPr>
        <w:t>9</w:t>
      </w:r>
      <w:r>
        <w:rPr>
          <w:rFonts w:ascii="黑体" w:eastAsia="黑体"/>
          <w:b w:val="0"/>
          <w:bCs/>
        </w:rPr>
        <w:t xml:space="preserve">.3.1  </w:t>
      </w:r>
      <w:r>
        <w:rPr>
          <w:b w:val="0"/>
          <w:bCs/>
        </w:rPr>
        <w:t xml:space="preserve">宜进行再生水水质对工艺的影响评价。 </w:t>
      </w:r>
    </w:p>
    <w:p w14:paraId="7B4FE90B">
      <w:pPr>
        <w:spacing w:line="400" w:lineRule="exact"/>
        <w:jc w:val="left"/>
        <w:outlineLvl w:val="1"/>
      </w:pPr>
      <w:r>
        <w:rPr>
          <w:rFonts w:hint="eastAsia" w:ascii="黑体" w:eastAsia="黑体"/>
          <w:b w:val="0"/>
          <w:bCs/>
          <w:lang w:val="en-US" w:eastAsia="zh-CN"/>
        </w:rPr>
        <w:t>9</w:t>
      </w:r>
      <w:r>
        <w:rPr>
          <w:rFonts w:ascii="黑体" w:eastAsia="黑体"/>
          <w:b w:val="0"/>
          <w:bCs/>
        </w:rPr>
        <w:t>.3.2</w:t>
      </w:r>
      <w:r>
        <w:rPr>
          <w:b w:val="0"/>
          <w:bCs/>
        </w:rPr>
        <w:t xml:space="preserve"> </w:t>
      </w:r>
      <w:r>
        <w:t xml:space="preserve">   宜对再生水进行定期监测，保证水质合格。 </w:t>
      </w:r>
    </w:p>
    <w:p w14:paraId="7D576CAC">
      <w:pPr>
        <w:spacing w:line="400" w:lineRule="exact"/>
        <w:outlineLvl w:val="1"/>
        <w:rPr>
          <w:rFonts w:ascii="黑体" w:eastAsia="黑体"/>
          <w:b w:val="0"/>
          <w:bCs w:val="0"/>
        </w:rPr>
      </w:pPr>
      <w:r>
        <w:rPr>
          <w:rFonts w:hint="eastAsia" w:ascii="黑体" w:eastAsia="黑体"/>
          <w:b w:val="0"/>
          <w:bCs w:val="0"/>
          <w:lang w:val="en-US" w:eastAsia="zh-CN"/>
        </w:rPr>
        <w:t>9</w:t>
      </w:r>
      <w:r>
        <w:rPr>
          <w:rFonts w:ascii="黑体" w:eastAsia="黑体"/>
          <w:b w:val="0"/>
          <w:bCs w:val="0"/>
        </w:rPr>
        <w:t xml:space="preserve">.4  </w:t>
      </w:r>
      <w:r>
        <w:rPr>
          <w:rFonts w:hint="eastAsia" w:ascii="黑体" w:eastAsia="黑体"/>
          <w:b w:val="0"/>
          <w:bCs w:val="0"/>
          <w:lang w:val="en-US" w:eastAsia="zh-CN"/>
        </w:rPr>
        <w:t>产品</w:t>
      </w:r>
      <w:r>
        <w:rPr>
          <w:rFonts w:hint="eastAsia" w:ascii="黑体" w:eastAsia="黑体"/>
          <w:b w:val="0"/>
          <w:bCs w:val="0"/>
        </w:rPr>
        <w:t>用水</w:t>
      </w:r>
      <w:r>
        <w:rPr>
          <w:rFonts w:ascii="黑体" w:eastAsia="黑体"/>
          <w:b w:val="0"/>
          <w:bCs w:val="0"/>
        </w:rPr>
        <w:t xml:space="preserve"> </w:t>
      </w:r>
    </w:p>
    <w:p w14:paraId="54AA2FAF">
      <w:pPr>
        <w:spacing w:line="400" w:lineRule="exact"/>
        <w:ind w:firstLine="420" w:firstLineChars="200"/>
        <w:jc w:val="left"/>
        <w:outlineLvl w:val="1"/>
      </w:pPr>
      <w:r>
        <w:t xml:space="preserve">水质检验应符合 </w:t>
      </w:r>
      <w:r>
        <w:rPr>
          <w:rFonts w:hint="eastAsia"/>
          <w:lang w:val="en-US" w:eastAsia="zh-CN"/>
        </w:rPr>
        <w:t>各行业标准</w:t>
      </w:r>
      <w:r>
        <w:t xml:space="preserve">的要求。 </w:t>
      </w:r>
    </w:p>
    <w:p w14:paraId="22F4163C">
      <w:pPr>
        <w:pStyle w:val="3"/>
        <w:spacing w:before="156" w:beforeLines="50" w:after="156" w:afterLines="50" w:line="400" w:lineRule="exact"/>
        <w:rPr>
          <w:rFonts w:ascii="黑体" w:hAnsi="黑体" w:eastAsia="黑体" w:cs="黑体"/>
          <w:b w:val="0"/>
          <w:bCs/>
          <w:kern w:val="0"/>
          <w:sz w:val="21"/>
          <w:szCs w:val="21"/>
        </w:rPr>
      </w:pPr>
      <w:bookmarkStart w:id="18" w:name="_Toc2869"/>
      <w:r>
        <w:rPr>
          <w:rFonts w:hint="eastAsia" w:ascii="黑体" w:hAnsi="黑体" w:eastAsia="黑体" w:cs="黑体"/>
          <w:b w:val="0"/>
          <w:bCs/>
          <w:kern w:val="0"/>
          <w:sz w:val="21"/>
          <w:szCs w:val="21"/>
          <w:lang w:val="en-US" w:eastAsia="zh-CN"/>
        </w:rPr>
        <w:t xml:space="preserve">10  </w:t>
      </w:r>
      <w:r>
        <w:rPr>
          <w:rFonts w:ascii="黑体" w:hAnsi="黑体" w:eastAsia="黑体" w:cs="黑体"/>
          <w:b w:val="0"/>
          <w:bCs/>
          <w:kern w:val="0"/>
          <w:sz w:val="21"/>
          <w:szCs w:val="21"/>
        </w:rPr>
        <w:t>输配</w:t>
      </w:r>
      <w:r>
        <w:rPr>
          <w:rFonts w:hint="eastAsia" w:ascii="黑体" w:hAnsi="黑体" w:eastAsia="黑体" w:cs="黑体"/>
          <w:b w:val="0"/>
          <w:bCs/>
          <w:kern w:val="0"/>
          <w:sz w:val="21"/>
          <w:szCs w:val="21"/>
        </w:rPr>
        <w:t>管网</w:t>
      </w:r>
      <w:bookmarkEnd w:id="18"/>
    </w:p>
    <w:p w14:paraId="0E4E8786">
      <w:pPr>
        <w:spacing w:line="400" w:lineRule="exact"/>
        <w:jc w:val="left"/>
        <w:outlineLvl w:val="1"/>
        <w:rPr>
          <w:b w:val="0"/>
          <w:bCs w:val="0"/>
          <w:color w:val="auto"/>
        </w:rPr>
      </w:pPr>
      <w:r>
        <w:rPr>
          <w:rFonts w:hint="eastAsia" w:ascii="黑体" w:eastAsia="黑体"/>
          <w:b w:val="0"/>
          <w:bCs w:val="0"/>
          <w:color w:val="auto"/>
          <w:lang w:val="en-US" w:eastAsia="zh-CN"/>
        </w:rPr>
        <w:t>10</w:t>
      </w:r>
      <w:r>
        <w:rPr>
          <w:rFonts w:ascii="黑体" w:eastAsia="黑体"/>
          <w:b w:val="0"/>
          <w:bCs w:val="0"/>
          <w:color w:val="auto"/>
        </w:rPr>
        <w:t>.1</w:t>
      </w:r>
      <w:r>
        <w:rPr>
          <w:rFonts w:hint="eastAsia" w:ascii="黑体" w:eastAsia="黑体"/>
          <w:b w:val="0"/>
          <w:bCs w:val="0"/>
          <w:color w:val="auto"/>
          <w:lang w:val="en-US" w:eastAsia="zh-CN"/>
        </w:rPr>
        <w:t xml:space="preserve">  </w:t>
      </w:r>
      <w:r>
        <w:rPr>
          <w:b w:val="0"/>
          <w:bCs w:val="0"/>
          <w:color w:val="auto"/>
        </w:rPr>
        <w:t>再生水输配管网应采用独立系统，</w:t>
      </w:r>
      <w:r>
        <w:rPr>
          <w:rFonts w:hint="eastAsia"/>
          <w:b w:val="0"/>
          <w:bCs w:val="0"/>
          <w:color w:val="auto"/>
        </w:rPr>
        <w:t>严禁</w:t>
      </w:r>
      <w:r>
        <w:rPr>
          <w:b w:val="0"/>
          <w:bCs w:val="0"/>
          <w:color w:val="auto"/>
        </w:rPr>
        <w:t>与生活用水管道连接</w:t>
      </w:r>
      <w:r>
        <w:rPr>
          <w:rFonts w:hint="eastAsia"/>
          <w:b w:val="0"/>
          <w:bCs w:val="0"/>
          <w:color w:val="auto"/>
        </w:rPr>
        <w:t>，并应设置水质、水量监测设施</w:t>
      </w:r>
      <w:r>
        <w:rPr>
          <w:b w:val="0"/>
          <w:bCs w:val="0"/>
          <w:color w:val="auto"/>
        </w:rPr>
        <w:t xml:space="preserve">。 </w:t>
      </w:r>
    </w:p>
    <w:p w14:paraId="75EE8FB2">
      <w:pPr>
        <w:spacing w:line="400" w:lineRule="exact"/>
        <w:jc w:val="left"/>
        <w:outlineLvl w:val="1"/>
        <w:rPr>
          <w:b w:val="0"/>
          <w:bCs w:val="0"/>
          <w:color w:val="auto"/>
        </w:rPr>
      </w:pPr>
      <w:r>
        <w:rPr>
          <w:rFonts w:hint="eastAsia" w:ascii="黑体" w:eastAsia="黑体"/>
          <w:b w:val="0"/>
          <w:bCs w:val="0"/>
          <w:color w:val="auto"/>
          <w:lang w:val="en-US" w:eastAsia="zh-CN"/>
        </w:rPr>
        <w:t>10</w:t>
      </w:r>
      <w:r>
        <w:rPr>
          <w:rFonts w:ascii="黑体" w:eastAsia="黑体"/>
          <w:b w:val="0"/>
          <w:bCs w:val="0"/>
          <w:color w:val="auto"/>
        </w:rPr>
        <w:t xml:space="preserve">.2  </w:t>
      </w:r>
      <w:r>
        <w:rPr>
          <w:b w:val="0"/>
          <w:bCs w:val="0"/>
          <w:color w:val="auto"/>
        </w:rPr>
        <w:t>不能停水的工业</w:t>
      </w:r>
      <w:r>
        <w:rPr>
          <w:rFonts w:hint="eastAsia"/>
          <w:b w:val="0"/>
          <w:bCs w:val="0"/>
          <w:color w:val="auto"/>
        </w:rPr>
        <w:t>企业</w:t>
      </w:r>
      <w:r>
        <w:rPr>
          <w:b w:val="0"/>
          <w:bCs w:val="0"/>
          <w:color w:val="auto"/>
        </w:rPr>
        <w:t>，宜设置双管道供水系统，保障供水安全。</w:t>
      </w:r>
    </w:p>
    <w:p w14:paraId="4B5CD6EB">
      <w:pPr>
        <w:spacing w:line="400" w:lineRule="exact"/>
        <w:jc w:val="left"/>
        <w:outlineLvl w:val="1"/>
        <w:rPr>
          <w:b w:val="0"/>
          <w:bCs w:val="0"/>
          <w:color w:val="auto"/>
        </w:rPr>
      </w:pPr>
      <w:r>
        <w:rPr>
          <w:rFonts w:hint="eastAsia" w:ascii="黑体" w:eastAsia="黑体"/>
          <w:b w:val="0"/>
          <w:bCs w:val="0"/>
          <w:color w:val="auto"/>
          <w:lang w:val="en-US" w:eastAsia="zh-CN"/>
        </w:rPr>
        <w:t>10</w:t>
      </w:r>
      <w:r>
        <w:rPr>
          <w:rFonts w:ascii="黑体" w:eastAsia="黑体"/>
          <w:b w:val="0"/>
          <w:bCs w:val="0"/>
          <w:color w:val="auto"/>
        </w:rPr>
        <w:t xml:space="preserve">.3  </w:t>
      </w:r>
      <w:r>
        <w:rPr>
          <w:b w:val="0"/>
          <w:bCs w:val="0"/>
          <w:color w:val="auto"/>
        </w:rPr>
        <w:t>再生水输配管网的布局应综合考虑再生水水源和再生水工业</w:t>
      </w:r>
      <w:r>
        <w:rPr>
          <w:rFonts w:hint="eastAsia"/>
          <w:b w:val="0"/>
          <w:bCs w:val="0"/>
          <w:color w:val="auto"/>
        </w:rPr>
        <w:t>企业</w:t>
      </w:r>
      <w:r>
        <w:rPr>
          <w:b w:val="0"/>
          <w:bCs w:val="0"/>
          <w:color w:val="auto"/>
        </w:rPr>
        <w:t>的分布，统筹规划</w:t>
      </w:r>
      <w:r>
        <w:rPr>
          <w:rFonts w:hint="eastAsia"/>
          <w:b w:val="0"/>
          <w:bCs w:val="0"/>
          <w:color w:val="auto"/>
        </w:rPr>
        <w:t>。宜设计成环状。</w:t>
      </w:r>
      <w:r>
        <w:rPr>
          <w:b w:val="0"/>
          <w:bCs w:val="0"/>
          <w:color w:val="auto"/>
        </w:rPr>
        <w:t xml:space="preserve"> </w:t>
      </w:r>
    </w:p>
    <w:p w14:paraId="4791D570">
      <w:pPr>
        <w:spacing w:line="400" w:lineRule="exact"/>
        <w:jc w:val="left"/>
        <w:outlineLvl w:val="1"/>
        <w:rPr>
          <w:b w:val="0"/>
          <w:bCs w:val="0"/>
          <w:color w:val="auto"/>
        </w:rPr>
      </w:pPr>
      <w:r>
        <w:rPr>
          <w:rFonts w:hint="eastAsia" w:ascii="黑体" w:eastAsia="黑体"/>
          <w:b w:val="0"/>
          <w:bCs w:val="0"/>
          <w:color w:val="auto"/>
          <w:lang w:val="en-US" w:eastAsia="zh-CN"/>
        </w:rPr>
        <w:t>10</w:t>
      </w:r>
      <w:r>
        <w:rPr>
          <w:rFonts w:ascii="黑体" w:eastAsia="黑体"/>
          <w:b w:val="0"/>
          <w:bCs w:val="0"/>
          <w:color w:val="auto"/>
        </w:rPr>
        <w:t xml:space="preserve">.4  </w:t>
      </w:r>
      <w:r>
        <w:rPr>
          <w:b w:val="0"/>
          <w:bCs w:val="0"/>
          <w:color w:val="auto"/>
        </w:rPr>
        <w:t>再生水输配管网平面和竖向布置、管道水力计算、管道敷设及附属设施设置应符合</w:t>
      </w:r>
      <w:r>
        <w:rPr>
          <w:rFonts w:hint="eastAsia" w:ascii="宋体" w:hAnsi="宋体" w:eastAsia="宋体" w:cs="宋体"/>
          <w:b w:val="0"/>
          <w:bCs w:val="0"/>
          <w:color w:val="auto"/>
        </w:rPr>
        <w:t>GB 50013、 GB 50335</w:t>
      </w:r>
      <w:r>
        <w:rPr>
          <w:b w:val="0"/>
          <w:bCs w:val="0"/>
          <w:color w:val="auto"/>
        </w:rPr>
        <w:t xml:space="preserve"> 的</w:t>
      </w:r>
      <w:r>
        <w:rPr>
          <w:rFonts w:hint="eastAsia"/>
          <w:b w:val="0"/>
          <w:bCs w:val="0"/>
          <w:color w:val="auto"/>
        </w:rPr>
        <w:t>相关</w:t>
      </w:r>
      <w:r>
        <w:rPr>
          <w:b w:val="0"/>
          <w:bCs w:val="0"/>
          <w:color w:val="auto"/>
        </w:rPr>
        <w:t xml:space="preserve">规定。 </w:t>
      </w:r>
    </w:p>
    <w:p w14:paraId="6E5934A5">
      <w:pPr>
        <w:spacing w:line="400" w:lineRule="exact"/>
        <w:jc w:val="left"/>
        <w:outlineLvl w:val="1"/>
        <w:rPr>
          <w:b w:val="0"/>
          <w:bCs w:val="0"/>
          <w:color w:val="auto"/>
        </w:rPr>
      </w:pPr>
      <w:r>
        <w:rPr>
          <w:rFonts w:hint="eastAsia" w:ascii="黑体" w:eastAsia="黑体"/>
          <w:b w:val="0"/>
          <w:bCs w:val="0"/>
          <w:color w:val="auto"/>
          <w:lang w:val="en-US" w:eastAsia="zh-CN"/>
        </w:rPr>
        <w:t>10</w:t>
      </w:r>
      <w:r>
        <w:rPr>
          <w:rFonts w:ascii="黑体" w:eastAsia="黑体"/>
          <w:b w:val="0"/>
          <w:bCs w:val="0"/>
          <w:color w:val="auto"/>
        </w:rPr>
        <w:t xml:space="preserve">.5  </w:t>
      </w:r>
      <w:r>
        <w:rPr>
          <w:b w:val="0"/>
          <w:bCs w:val="0"/>
          <w:color w:val="auto"/>
        </w:rPr>
        <w:t xml:space="preserve">再生水管道管材的选择应综合考虑水质、水量、水压、外部荷载、地质情况、施工维护等条件。 可采用塑料管、钢管及球墨铸铁管等，采用钢管及球墨铸铁管时应进行管道防腐。 </w:t>
      </w:r>
    </w:p>
    <w:p w14:paraId="71704CD9">
      <w:pPr>
        <w:spacing w:line="400" w:lineRule="exact"/>
        <w:jc w:val="left"/>
        <w:outlineLvl w:val="1"/>
        <w:rPr>
          <w:b w:val="0"/>
          <w:bCs w:val="0"/>
          <w:color w:val="auto"/>
        </w:rPr>
      </w:pPr>
      <w:r>
        <w:rPr>
          <w:rFonts w:hint="eastAsia" w:ascii="黑体" w:eastAsia="黑体"/>
          <w:b w:val="0"/>
          <w:bCs w:val="0"/>
          <w:color w:val="auto"/>
          <w:lang w:val="en-US" w:eastAsia="zh-CN"/>
        </w:rPr>
        <w:t>10</w:t>
      </w:r>
      <w:r>
        <w:rPr>
          <w:rFonts w:ascii="黑体" w:eastAsia="黑体"/>
          <w:b w:val="0"/>
          <w:bCs w:val="0"/>
          <w:color w:val="auto"/>
        </w:rPr>
        <w:t xml:space="preserve">.6  </w:t>
      </w:r>
      <w:r>
        <w:rPr>
          <w:b w:val="0"/>
          <w:bCs w:val="0"/>
          <w:color w:val="auto"/>
        </w:rPr>
        <w:t>再生水管道取水接口和取水龙头处应配置</w:t>
      </w:r>
      <w:r>
        <w:rPr>
          <w:rFonts w:hint="eastAsia"/>
          <w:b w:val="0"/>
          <w:bCs w:val="0"/>
          <w:color w:val="auto"/>
          <w:lang w:eastAsia="zh-CN"/>
        </w:rPr>
        <w:t>“</w:t>
      </w:r>
      <w:r>
        <w:rPr>
          <w:b w:val="0"/>
          <w:bCs w:val="0"/>
          <w:color w:val="auto"/>
        </w:rPr>
        <w:t>再生水不得饮用</w:t>
      </w:r>
      <w:r>
        <w:rPr>
          <w:rFonts w:hint="eastAsia"/>
          <w:b w:val="0"/>
          <w:bCs w:val="0"/>
          <w:color w:val="auto"/>
          <w:lang w:eastAsia="zh-CN"/>
        </w:rPr>
        <w:t>”</w:t>
      </w:r>
      <w:r>
        <w:rPr>
          <w:b w:val="0"/>
          <w:bCs w:val="0"/>
          <w:color w:val="auto"/>
        </w:rPr>
        <w:t>的耐久标识。再生水管道用水点处应根据再生水利用具体用途设置相应的再生水警示和提示标识。</w:t>
      </w:r>
    </w:p>
    <w:p w14:paraId="06BC43BA">
      <w:pPr>
        <w:spacing w:line="400" w:lineRule="exact"/>
        <w:jc w:val="left"/>
        <w:outlineLvl w:val="1"/>
        <w:rPr>
          <w:b w:val="0"/>
          <w:bCs w:val="0"/>
          <w:color w:val="auto"/>
        </w:rPr>
      </w:pPr>
      <w:r>
        <w:rPr>
          <w:rFonts w:hint="eastAsia" w:ascii="黑体" w:eastAsia="黑体"/>
          <w:b w:val="0"/>
          <w:bCs w:val="0"/>
          <w:color w:val="auto"/>
          <w:lang w:val="en-US" w:eastAsia="zh-CN"/>
        </w:rPr>
        <w:t>10</w:t>
      </w:r>
      <w:r>
        <w:rPr>
          <w:rFonts w:ascii="黑体" w:eastAsia="黑体"/>
          <w:b w:val="0"/>
          <w:bCs w:val="0"/>
          <w:color w:val="auto"/>
        </w:rPr>
        <w:t xml:space="preserve">.7  </w:t>
      </w:r>
      <w:r>
        <w:rPr>
          <w:b w:val="0"/>
          <w:bCs w:val="0"/>
          <w:color w:val="auto"/>
        </w:rPr>
        <w:t>再生水输配管网中所有组件和附属设施的显著位置应配置</w:t>
      </w:r>
      <w:r>
        <w:rPr>
          <w:rFonts w:hint="eastAsia"/>
          <w:b w:val="0"/>
          <w:bCs w:val="0"/>
          <w:color w:val="auto"/>
          <w:lang w:eastAsia="zh-CN"/>
        </w:rPr>
        <w:t>“</w:t>
      </w:r>
      <w:r>
        <w:rPr>
          <w:b w:val="0"/>
          <w:bCs w:val="0"/>
          <w:color w:val="auto"/>
        </w:rPr>
        <w:t>再生水</w:t>
      </w:r>
      <w:r>
        <w:rPr>
          <w:rFonts w:hint="eastAsia"/>
          <w:b w:val="0"/>
          <w:bCs w:val="0"/>
          <w:color w:val="auto"/>
          <w:lang w:eastAsia="zh-CN"/>
        </w:rPr>
        <w:t>”</w:t>
      </w:r>
      <w:r>
        <w:rPr>
          <w:b w:val="0"/>
          <w:bCs w:val="0"/>
          <w:color w:val="auto"/>
        </w:rPr>
        <w:t>耐久标识，再生水管道明装 时应采用识别色，并配置</w:t>
      </w:r>
      <w:r>
        <w:rPr>
          <w:rFonts w:hint="eastAsia"/>
          <w:b w:val="0"/>
          <w:bCs w:val="0"/>
          <w:color w:val="auto"/>
          <w:lang w:eastAsia="zh-CN"/>
        </w:rPr>
        <w:t>“</w:t>
      </w:r>
      <w:r>
        <w:rPr>
          <w:b w:val="0"/>
          <w:bCs w:val="0"/>
          <w:color w:val="auto"/>
        </w:rPr>
        <w:t>再生水管道</w:t>
      </w:r>
      <w:r>
        <w:rPr>
          <w:rFonts w:hint="eastAsia"/>
          <w:b w:val="0"/>
          <w:bCs w:val="0"/>
          <w:color w:val="auto"/>
          <w:lang w:eastAsia="zh-CN"/>
        </w:rPr>
        <w:t>”</w:t>
      </w:r>
      <w:r>
        <w:rPr>
          <w:b w:val="0"/>
          <w:bCs w:val="0"/>
          <w:color w:val="auto"/>
        </w:rPr>
        <w:t>耐久标识，埋地再生水管道应在管道上方设置耐久标志带。</w:t>
      </w:r>
    </w:p>
    <w:p w14:paraId="633A5D75">
      <w:pPr>
        <w:spacing w:line="400" w:lineRule="exact"/>
        <w:jc w:val="left"/>
        <w:outlineLvl w:val="1"/>
        <w:rPr>
          <w:b w:val="0"/>
          <w:bCs w:val="0"/>
          <w:color w:val="auto"/>
        </w:rPr>
      </w:pPr>
      <w:r>
        <w:rPr>
          <w:rFonts w:hint="eastAsia" w:ascii="黑体" w:eastAsia="黑体"/>
          <w:b w:val="0"/>
          <w:bCs w:val="0"/>
          <w:color w:val="auto"/>
          <w:lang w:val="en-US" w:eastAsia="zh-CN"/>
        </w:rPr>
        <w:t>10</w:t>
      </w:r>
      <w:r>
        <w:rPr>
          <w:rFonts w:ascii="黑体" w:eastAsia="黑体"/>
          <w:b w:val="0"/>
          <w:bCs w:val="0"/>
          <w:color w:val="auto"/>
        </w:rPr>
        <w:t xml:space="preserve">.8  </w:t>
      </w:r>
      <w:r>
        <w:rPr>
          <w:b w:val="0"/>
          <w:bCs w:val="0"/>
          <w:color w:val="auto"/>
        </w:rPr>
        <w:t xml:space="preserve">再生水管道的阀门设置应方便事故检修隔断及放空排水的需要。 </w:t>
      </w:r>
    </w:p>
    <w:p w14:paraId="673DB3E2">
      <w:pPr>
        <w:spacing w:line="400" w:lineRule="exact"/>
        <w:jc w:val="left"/>
        <w:outlineLvl w:val="1"/>
        <w:rPr>
          <w:b w:val="0"/>
          <w:bCs w:val="0"/>
          <w:color w:val="auto"/>
        </w:rPr>
      </w:pPr>
      <w:r>
        <w:rPr>
          <w:rFonts w:hint="eastAsia" w:ascii="黑体" w:eastAsia="黑体"/>
          <w:b w:val="0"/>
          <w:bCs w:val="0"/>
          <w:color w:val="auto"/>
          <w:lang w:val="en-US" w:eastAsia="zh-CN"/>
        </w:rPr>
        <w:t>10</w:t>
      </w:r>
      <w:r>
        <w:rPr>
          <w:rFonts w:ascii="黑体" w:eastAsia="黑体"/>
          <w:b w:val="0"/>
          <w:bCs w:val="0"/>
          <w:color w:val="auto"/>
        </w:rPr>
        <w:t xml:space="preserve">.9  </w:t>
      </w:r>
      <w:r>
        <w:rPr>
          <w:b w:val="0"/>
          <w:bCs w:val="0"/>
          <w:color w:val="auto"/>
        </w:rPr>
        <w:t xml:space="preserve">再生水管道低洼处及阀门间管段低处宜设置泄水阀，防止再生水长期滞留于管网中出现水质恶 化。 </w:t>
      </w:r>
    </w:p>
    <w:p w14:paraId="5FE1E8E7">
      <w:pPr>
        <w:spacing w:line="400" w:lineRule="exact"/>
        <w:jc w:val="left"/>
        <w:outlineLvl w:val="1"/>
        <w:rPr>
          <w:b w:val="0"/>
          <w:bCs w:val="0"/>
          <w:color w:val="auto"/>
        </w:rPr>
      </w:pPr>
      <w:r>
        <w:rPr>
          <w:rFonts w:hint="eastAsia" w:ascii="黑体" w:eastAsia="黑体"/>
          <w:b w:val="0"/>
          <w:bCs w:val="0"/>
          <w:color w:val="auto"/>
          <w:lang w:val="en-US" w:eastAsia="zh-CN"/>
        </w:rPr>
        <w:t>10</w:t>
      </w:r>
      <w:r>
        <w:rPr>
          <w:rFonts w:ascii="黑体" w:eastAsia="黑体"/>
          <w:b w:val="0"/>
          <w:bCs w:val="0"/>
          <w:color w:val="auto"/>
        </w:rPr>
        <w:t xml:space="preserve">.10  </w:t>
      </w:r>
      <w:r>
        <w:rPr>
          <w:b w:val="0"/>
          <w:bCs w:val="0"/>
          <w:color w:val="auto"/>
        </w:rPr>
        <w:t>再生水管道向循环冷却水集水池等淹没出流配水时，应设置防倒流装置。</w:t>
      </w:r>
    </w:p>
    <w:p w14:paraId="19453413">
      <w:pPr>
        <w:spacing w:line="400" w:lineRule="exact"/>
        <w:jc w:val="left"/>
        <w:outlineLvl w:val="1"/>
        <w:rPr>
          <w:b w:val="0"/>
          <w:bCs w:val="0"/>
          <w:color w:val="auto"/>
        </w:rPr>
      </w:pPr>
      <w:r>
        <w:rPr>
          <w:rFonts w:hint="eastAsia" w:ascii="黑体" w:eastAsia="黑体"/>
          <w:b w:val="0"/>
          <w:bCs w:val="0"/>
          <w:color w:val="auto"/>
          <w:lang w:val="en-US" w:eastAsia="zh-CN"/>
        </w:rPr>
        <w:t>10</w:t>
      </w:r>
      <w:r>
        <w:rPr>
          <w:rFonts w:ascii="黑体" w:eastAsia="黑体"/>
          <w:b w:val="0"/>
          <w:bCs w:val="0"/>
          <w:color w:val="auto"/>
        </w:rPr>
        <w:t xml:space="preserve">.11  </w:t>
      </w:r>
      <w:r>
        <w:rPr>
          <w:b w:val="0"/>
          <w:bCs w:val="0"/>
          <w:color w:val="auto"/>
        </w:rPr>
        <w:t>再生水</w:t>
      </w:r>
      <w:r>
        <w:rPr>
          <w:rFonts w:hint="eastAsia"/>
          <w:b w:val="0"/>
          <w:bCs w:val="0"/>
          <w:color w:val="auto"/>
        </w:rPr>
        <w:t>供水系统上应根据使用、计费及管理要求安装计量装置。</w:t>
      </w:r>
    </w:p>
    <w:p w14:paraId="5337C4D7">
      <w:pPr>
        <w:spacing w:line="400" w:lineRule="exact"/>
        <w:jc w:val="left"/>
        <w:outlineLvl w:val="1"/>
        <w:rPr>
          <w:rFonts w:hint="eastAsia"/>
          <w:b w:val="0"/>
          <w:bCs w:val="0"/>
          <w:color w:val="auto"/>
        </w:rPr>
      </w:pPr>
      <w:r>
        <w:rPr>
          <w:rFonts w:hint="eastAsia" w:ascii="黑体" w:eastAsia="黑体"/>
          <w:b w:val="0"/>
          <w:bCs w:val="0"/>
          <w:color w:val="auto"/>
          <w:lang w:val="en-US" w:eastAsia="zh-CN"/>
        </w:rPr>
        <w:t>10</w:t>
      </w:r>
      <w:r>
        <w:rPr>
          <w:rFonts w:ascii="黑体" w:eastAsia="黑体"/>
          <w:b w:val="0"/>
          <w:bCs w:val="0"/>
          <w:color w:val="auto"/>
        </w:rPr>
        <w:t xml:space="preserve">.12  </w:t>
      </w:r>
      <w:r>
        <w:rPr>
          <w:rFonts w:hint="eastAsia"/>
          <w:b w:val="0"/>
          <w:bCs w:val="0"/>
          <w:color w:val="auto"/>
        </w:rPr>
        <w:t>绿化、浇洒、汽车冲洗宜采用有防护功能的壁式或地下式给</w:t>
      </w:r>
      <w:r>
        <w:rPr>
          <w:rFonts w:hint="eastAsia"/>
          <w:b w:val="0"/>
          <w:bCs w:val="0"/>
          <w:color w:val="auto"/>
          <w:lang w:val="en-US" w:eastAsia="zh-CN"/>
        </w:rPr>
        <w:t>水</w:t>
      </w:r>
      <w:r>
        <w:rPr>
          <w:rFonts w:hint="eastAsia"/>
          <w:b w:val="0"/>
          <w:bCs w:val="0"/>
          <w:color w:val="auto"/>
        </w:rPr>
        <w:t>栓。</w:t>
      </w:r>
    </w:p>
    <w:p w14:paraId="5637BBC2">
      <w:pPr>
        <w:pStyle w:val="3"/>
        <w:spacing w:before="156" w:beforeLines="50" w:after="156" w:afterLines="50" w:line="400" w:lineRule="exact"/>
        <w:rPr>
          <w:rFonts w:ascii="黑体" w:hAnsi="黑体" w:eastAsia="黑体" w:cs="黑体"/>
          <w:b w:val="0"/>
          <w:bCs w:val="0"/>
          <w:kern w:val="0"/>
          <w:sz w:val="24"/>
          <w:szCs w:val="24"/>
        </w:rPr>
      </w:pPr>
      <w:bookmarkStart w:id="19" w:name="_Toc15500"/>
      <w:r>
        <w:rPr>
          <w:rFonts w:hint="eastAsia" w:ascii="黑体" w:hAnsi="黑体" w:eastAsia="黑体" w:cs="黑体"/>
          <w:b w:val="0"/>
          <w:bCs w:val="0"/>
          <w:kern w:val="0"/>
          <w:sz w:val="24"/>
          <w:szCs w:val="24"/>
          <w:lang w:val="en-US" w:eastAsia="zh-CN"/>
        </w:rPr>
        <w:t xml:space="preserve">11  </w:t>
      </w:r>
      <w:r>
        <w:rPr>
          <w:rFonts w:ascii="黑体" w:hAnsi="黑体" w:eastAsia="黑体" w:cs="黑体"/>
          <w:b w:val="0"/>
          <w:bCs w:val="0"/>
          <w:kern w:val="0"/>
          <w:sz w:val="24"/>
          <w:szCs w:val="24"/>
        </w:rPr>
        <w:t>监测与管理</w:t>
      </w:r>
      <w:bookmarkEnd w:id="19"/>
    </w:p>
    <w:p w14:paraId="363F2BDC">
      <w:pPr>
        <w:spacing w:line="400" w:lineRule="exact"/>
        <w:jc w:val="left"/>
        <w:outlineLvl w:val="1"/>
        <w:rPr>
          <w:rFonts w:ascii="黑体" w:eastAsia="黑体"/>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.1</w:t>
      </w:r>
      <w:r>
        <w:rPr>
          <w:rFonts w:hint="eastAsia" w:ascii="黑体" w:eastAsia="黑体"/>
          <w:b w:val="0"/>
          <w:bCs w:val="0"/>
          <w:lang w:val="en-US" w:eastAsia="zh-CN"/>
        </w:rPr>
        <w:t xml:space="preserve">  </w:t>
      </w:r>
      <w:r>
        <w:rPr>
          <w:rFonts w:ascii="黑体" w:eastAsia="黑体"/>
          <w:b w:val="0"/>
          <w:bCs w:val="0"/>
        </w:rPr>
        <w:t xml:space="preserve">进水监测 </w:t>
      </w:r>
    </w:p>
    <w:p w14:paraId="1D96FBD1">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.1.1</w:t>
      </w:r>
      <w:r>
        <w:rPr>
          <w:rFonts w:hint="eastAsia" w:ascii="黑体" w:eastAsia="黑体"/>
          <w:b w:val="0"/>
          <w:bCs w:val="0"/>
          <w:lang w:val="en-US" w:eastAsia="zh-CN"/>
        </w:rPr>
        <w:t xml:space="preserve">  </w:t>
      </w:r>
      <w:r>
        <w:rPr>
          <w:b w:val="0"/>
          <w:bCs w:val="0"/>
        </w:rPr>
        <w:t xml:space="preserve">应监测进水水质水量。 </w:t>
      </w:r>
    </w:p>
    <w:p w14:paraId="50277383">
      <w:pPr>
        <w:spacing w:line="400" w:lineRule="exact"/>
        <w:jc w:val="left"/>
        <w:outlineLvl w:val="1"/>
        <w:rPr>
          <w:rFonts w:hint="eastAsia" w:ascii="宋体" w:hAnsi="宋体" w:eastAsia="宋体" w:cs="宋体"/>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.1.2</w:t>
      </w:r>
      <w:r>
        <w:rPr>
          <w:rFonts w:hint="eastAsia" w:ascii="黑体" w:eastAsia="黑体"/>
          <w:b w:val="0"/>
          <w:bCs w:val="0"/>
          <w:lang w:val="en-US" w:eastAsia="zh-CN"/>
        </w:rPr>
        <w:t xml:space="preserve"> </w:t>
      </w:r>
      <w:r>
        <w:rPr>
          <w:rFonts w:hint="eastAsia" w:ascii="宋体" w:hAnsi="宋体" w:eastAsia="宋体" w:cs="宋体"/>
          <w:b w:val="0"/>
          <w:bCs w:val="0"/>
          <w:lang w:val="en-US" w:eastAsia="zh-CN"/>
        </w:rPr>
        <w:t xml:space="preserve"> </w:t>
      </w:r>
      <w:r>
        <w:rPr>
          <w:rFonts w:hint="eastAsia" w:ascii="宋体" w:hAnsi="宋体" w:eastAsia="宋体" w:cs="宋体"/>
          <w:b w:val="0"/>
          <w:bCs w:val="0"/>
        </w:rPr>
        <w:t xml:space="preserve">水质监测项目包括 GB/T 19923 的基本控制项目和供水协议中的所有水质指标。 </w:t>
      </w:r>
    </w:p>
    <w:p w14:paraId="08D4CDCB">
      <w:pPr>
        <w:spacing w:line="400" w:lineRule="exact"/>
        <w:jc w:val="left"/>
        <w:outlineLvl w:val="1"/>
        <w:rPr>
          <w:rFonts w:hint="eastAsia" w:ascii="宋体" w:hAnsi="宋体" w:eastAsia="宋体" w:cs="宋体"/>
          <w:b w:val="0"/>
          <w:bCs w:val="0"/>
        </w:rPr>
      </w:pPr>
      <w:r>
        <w:rPr>
          <w:rFonts w:hint="eastAsia" w:ascii="黑体" w:eastAsia="黑体"/>
          <w:b w:val="0"/>
          <w:bCs w:val="0"/>
        </w:rPr>
        <w:t>1</w:t>
      </w:r>
      <w:r>
        <w:rPr>
          <w:rFonts w:hint="eastAsia" w:ascii="黑体" w:eastAsia="黑体"/>
          <w:b w:val="0"/>
          <w:bCs w:val="0"/>
          <w:lang w:val="en-US" w:eastAsia="zh-CN"/>
        </w:rPr>
        <w:t>1</w:t>
      </w:r>
      <w:r>
        <w:rPr>
          <w:rFonts w:hint="eastAsia" w:ascii="黑体" w:eastAsia="黑体"/>
          <w:b w:val="0"/>
          <w:bCs w:val="0"/>
        </w:rPr>
        <w:t>.1.3</w:t>
      </w:r>
      <w:r>
        <w:rPr>
          <w:rFonts w:hint="eastAsia" w:ascii="宋体" w:hAnsi="宋体" w:eastAsia="宋体" w:cs="宋体"/>
          <w:b w:val="0"/>
          <w:bCs w:val="0"/>
          <w:lang w:val="en-US" w:eastAsia="zh-CN"/>
        </w:rPr>
        <w:t xml:space="preserve">  </w:t>
      </w:r>
      <w:r>
        <w:rPr>
          <w:rFonts w:hint="eastAsia" w:ascii="宋体" w:hAnsi="宋体" w:eastAsia="宋体" w:cs="宋体"/>
          <w:b w:val="0"/>
          <w:bCs w:val="0"/>
        </w:rPr>
        <w:t xml:space="preserve">水质监测方法和监测频率应符合 GB/T 19923 的相关要求。 </w:t>
      </w:r>
    </w:p>
    <w:p w14:paraId="1FD5BFC2">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.1.4</w:t>
      </w:r>
      <w:r>
        <w:rPr>
          <w:rFonts w:hint="eastAsia" w:ascii="黑体" w:eastAsia="黑体"/>
          <w:b w:val="0"/>
          <w:bCs w:val="0"/>
          <w:lang w:val="en-US" w:eastAsia="zh-CN"/>
        </w:rPr>
        <w:t xml:space="preserve">  </w:t>
      </w:r>
      <w:r>
        <w:rPr>
          <w:b w:val="0"/>
          <w:bCs w:val="0"/>
        </w:rPr>
        <w:t xml:space="preserve">水质监测点宜设置在再生水取水口或调节池。 </w:t>
      </w:r>
    </w:p>
    <w:p w14:paraId="7871453A">
      <w:pPr>
        <w:spacing w:line="400" w:lineRule="exact"/>
        <w:jc w:val="left"/>
        <w:outlineLvl w:val="1"/>
        <w:rPr>
          <w:rFonts w:ascii="黑体" w:eastAsia="黑体"/>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.2</w:t>
      </w:r>
      <w:r>
        <w:rPr>
          <w:rFonts w:hint="eastAsia" w:ascii="黑体" w:eastAsia="黑体"/>
          <w:b w:val="0"/>
          <w:bCs w:val="0"/>
          <w:lang w:val="en-US" w:eastAsia="zh-CN"/>
        </w:rPr>
        <w:t xml:space="preserve">  </w:t>
      </w:r>
      <w:r>
        <w:rPr>
          <w:rFonts w:ascii="黑体" w:eastAsia="黑体"/>
          <w:b w:val="0"/>
          <w:bCs w:val="0"/>
        </w:rPr>
        <w:t xml:space="preserve">处理系统监测 </w:t>
      </w:r>
    </w:p>
    <w:p w14:paraId="51771890">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 xml:space="preserve">.2.1  </w:t>
      </w:r>
      <w:r>
        <w:rPr>
          <w:b w:val="0"/>
          <w:bCs w:val="0"/>
        </w:rPr>
        <w:t>宜在不同处理单元设置水质水量监测点。</w:t>
      </w:r>
    </w:p>
    <w:p w14:paraId="400D0AB6">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 xml:space="preserve">.2.2  </w:t>
      </w:r>
      <w:r>
        <w:rPr>
          <w:b w:val="0"/>
          <w:bCs w:val="0"/>
        </w:rPr>
        <w:t xml:space="preserve">应根据用水水质要求，制定规范的处理系统水质监测方案，明确监测指标、监测频率、监测方法等。 </w:t>
      </w:r>
    </w:p>
    <w:p w14:paraId="399C0C1D">
      <w:pPr>
        <w:spacing w:line="400" w:lineRule="exact"/>
        <w:jc w:val="left"/>
        <w:outlineLvl w:val="1"/>
        <w:rPr>
          <w:rFonts w:ascii="黑体" w:eastAsia="黑体"/>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.3</w:t>
      </w:r>
      <w:r>
        <w:rPr>
          <w:rFonts w:hint="eastAsia" w:ascii="黑体" w:eastAsia="黑体"/>
          <w:b w:val="0"/>
          <w:bCs w:val="0"/>
          <w:lang w:val="en-US" w:eastAsia="zh-CN"/>
        </w:rPr>
        <w:t xml:space="preserve">  </w:t>
      </w:r>
      <w:r>
        <w:rPr>
          <w:rFonts w:ascii="黑体" w:eastAsia="黑体"/>
          <w:b w:val="0"/>
          <w:bCs w:val="0"/>
        </w:rPr>
        <w:t xml:space="preserve">排水监测 </w:t>
      </w:r>
    </w:p>
    <w:p w14:paraId="247012B9">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 xml:space="preserve">.3.1  </w:t>
      </w:r>
      <w:r>
        <w:rPr>
          <w:b w:val="0"/>
          <w:bCs w:val="0"/>
        </w:rPr>
        <w:t>再生水使用后，直接向地表水体排放污水的工业</w:t>
      </w:r>
      <w:r>
        <w:rPr>
          <w:rFonts w:hint="eastAsia"/>
          <w:b w:val="0"/>
          <w:bCs w:val="0"/>
        </w:rPr>
        <w:t>企业</w:t>
      </w:r>
      <w:r>
        <w:rPr>
          <w:b w:val="0"/>
          <w:bCs w:val="0"/>
        </w:rPr>
        <w:t>，其出水监测项目、监测方法、监测频率和排放限值应符合</w:t>
      </w:r>
      <w:r>
        <w:rPr>
          <w:rFonts w:hint="eastAsia"/>
          <w:b w:val="0"/>
          <w:bCs w:val="0"/>
        </w:rPr>
        <w:t>相关</w:t>
      </w:r>
      <w:r>
        <w:rPr>
          <w:rFonts w:hint="eastAsia"/>
          <w:b w:val="0"/>
          <w:bCs w:val="0"/>
          <w:lang w:val="en-US" w:eastAsia="zh-CN"/>
        </w:rPr>
        <w:t>标准</w:t>
      </w:r>
      <w:r>
        <w:rPr>
          <w:b w:val="0"/>
          <w:bCs w:val="0"/>
        </w:rPr>
        <w:t>要求。</w:t>
      </w:r>
    </w:p>
    <w:p w14:paraId="77396A97">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 xml:space="preserve">.3.2  </w:t>
      </w:r>
      <w:r>
        <w:rPr>
          <w:b w:val="0"/>
          <w:bCs w:val="0"/>
        </w:rPr>
        <w:t>再生水使用后，排入城镇下水道的工业</w:t>
      </w:r>
      <w:r>
        <w:rPr>
          <w:rFonts w:hint="eastAsia"/>
          <w:b w:val="0"/>
          <w:bCs w:val="0"/>
        </w:rPr>
        <w:t>企业</w:t>
      </w:r>
      <w:r>
        <w:rPr>
          <w:b w:val="0"/>
          <w:bCs w:val="0"/>
        </w:rPr>
        <w:t xml:space="preserve">，其出水监测项目、监测方法、监测频率和排放限值应符合 </w:t>
      </w:r>
      <w:r>
        <w:rPr>
          <w:rFonts w:hint="eastAsia" w:ascii="宋体" w:hAnsi="宋体" w:eastAsia="宋体" w:cs="宋体"/>
          <w:b w:val="0"/>
          <w:bCs w:val="0"/>
        </w:rPr>
        <w:t>GB/T 31962</w:t>
      </w:r>
      <w:r>
        <w:rPr>
          <w:b w:val="0"/>
          <w:bCs w:val="0"/>
        </w:rPr>
        <w:t xml:space="preserve"> 的</w:t>
      </w:r>
      <w:r>
        <w:rPr>
          <w:rFonts w:hint="eastAsia"/>
          <w:b w:val="0"/>
          <w:bCs w:val="0"/>
        </w:rPr>
        <w:t>相关</w:t>
      </w:r>
      <w:r>
        <w:rPr>
          <w:b w:val="0"/>
          <w:bCs w:val="0"/>
        </w:rPr>
        <w:t>要求。</w:t>
      </w:r>
    </w:p>
    <w:p w14:paraId="404861AB">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 xml:space="preserve">.3.3  </w:t>
      </w:r>
      <w:r>
        <w:rPr>
          <w:b w:val="0"/>
          <w:bCs w:val="0"/>
        </w:rPr>
        <w:t>再生水使用后，采用园区集中处理污水模式的工业</w:t>
      </w:r>
      <w:r>
        <w:rPr>
          <w:rFonts w:hint="eastAsia"/>
          <w:b w:val="0"/>
          <w:bCs w:val="0"/>
        </w:rPr>
        <w:t>企业</w:t>
      </w:r>
      <w:r>
        <w:rPr>
          <w:b w:val="0"/>
          <w:bCs w:val="0"/>
        </w:rPr>
        <w:t xml:space="preserve">，宜与园区污水厂签订排污协议，明确排水水量和水质要求。 </w:t>
      </w:r>
    </w:p>
    <w:p w14:paraId="2D1E44AB">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 xml:space="preserve">.3.4  </w:t>
      </w:r>
      <w:r>
        <w:rPr>
          <w:rFonts w:hint="eastAsia"/>
          <w:b w:val="0"/>
          <w:bCs w:val="0"/>
        </w:rPr>
        <w:t>企业</w:t>
      </w:r>
      <w:r>
        <w:rPr>
          <w:b w:val="0"/>
          <w:bCs w:val="0"/>
        </w:rPr>
        <w:t>排水水质监测点宜设置在工业</w:t>
      </w:r>
      <w:r>
        <w:rPr>
          <w:rFonts w:hint="eastAsia"/>
          <w:b w:val="0"/>
          <w:bCs w:val="0"/>
        </w:rPr>
        <w:t>企业</w:t>
      </w:r>
      <w:r>
        <w:rPr>
          <w:b w:val="0"/>
          <w:bCs w:val="0"/>
        </w:rPr>
        <w:t>总出水口。</w:t>
      </w:r>
    </w:p>
    <w:p w14:paraId="0B0213FD">
      <w:pPr>
        <w:spacing w:line="400" w:lineRule="exact"/>
        <w:jc w:val="left"/>
        <w:outlineLvl w:val="1"/>
        <w:rPr>
          <w:rFonts w:ascii="黑体" w:eastAsia="黑体"/>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.4</w:t>
      </w:r>
      <w:r>
        <w:rPr>
          <w:rFonts w:hint="eastAsia" w:ascii="黑体" w:eastAsia="黑体"/>
          <w:b w:val="0"/>
          <w:bCs w:val="0"/>
          <w:lang w:val="en-US" w:eastAsia="zh-CN"/>
        </w:rPr>
        <w:t xml:space="preserve">  </w:t>
      </w:r>
      <w:r>
        <w:rPr>
          <w:rFonts w:ascii="黑体" w:eastAsia="黑体"/>
          <w:b w:val="0"/>
          <w:bCs w:val="0"/>
        </w:rPr>
        <w:t xml:space="preserve">档案管理 </w:t>
      </w:r>
    </w:p>
    <w:p w14:paraId="78FE7CD1">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 xml:space="preserve">.4.1  </w:t>
      </w:r>
      <w:r>
        <w:rPr>
          <w:b w:val="0"/>
          <w:bCs w:val="0"/>
        </w:rPr>
        <w:t xml:space="preserve">应建立健全再生水利用档案管理制度，完善各类档案资料的管理，包括项目审批文件、工艺说明书、管网图纸、水质监测记录、水平衡测试报告、设备设施维护运行记录、应急预案等。 </w:t>
      </w:r>
    </w:p>
    <w:p w14:paraId="349917B6">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1</w:t>
      </w:r>
      <w:r>
        <w:rPr>
          <w:rFonts w:ascii="黑体" w:eastAsia="黑体"/>
          <w:b w:val="0"/>
          <w:bCs w:val="0"/>
        </w:rPr>
        <w:t xml:space="preserve">.4.2  </w:t>
      </w:r>
      <w:r>
        <w:rPr>
          <w:b w:val="0"/>
          <w:bCs w:val="0"/>
        </w:rPr>
        <w:t>所有程序和过程应进行全面准确的记录、备份和归档。保证档案资料的准确完整、字迹清晰、真实有效。</w:t>
      </w:r>
    </w:p>
    <w:p w14:paraId="4FC72632">
      <w:pPr>
        <w:pStyle w:val="3"/>
        <w:spacing w:before="156" w:beforeLines="50" w:after="156" w:afterLines="50" w:line="400" w:lineRule="exact"/>
        <w:rPr>
          <w:rFonts w:ascii="黑体" w:hAnsi="黑体" w:eastAsia="黑体" w:cs="黑体"/>
          <w:b w:val="0"/>
          <w:bCs w:val="0"/>
          <w:kern w:val="0"/>
          <w:sz w:val="24"/>
          <w:szCs w:val="24"/>
        </w:rPr>
      </w:pPr>
      <w:bookmarkStart w:id="20" w:name="_Toc3617"/>
      <w:r>
        <w:rPr>
          <w:rFonts w:ascii="黑体" w:hAnsi="黑体" w:eastAsia="黑体" w:cs="黑体"/>
          <w:b w:val="0"/>
          <w:bCs w:val="0"/>
          <w:kern w:val="0"/>
          <w:sz w:val="24"/>
          <w:szCs w:val="24"/>
        </w:rPr>
        <w:t>1</w:t>
      </w:r>
      <w:r>
        <w:rPr>
          <w:rFonts w:hint="eastAsia" w:ascii="黑体" w:hAnsi="黑体" w:eastAsia="黑体" w:cs="黑体"/>
          <w:b w:val="0"/>
          <w:bCs w:val="0"/>
          <w:kern w:val="0"/>
          <w:sz w:val="24"/>
          <w:szCs w:val="24"/>
          <w:lang w:val="en-US" w:eastAsia="zh-CN"/>
        </w:rPr>
        <w:t xml:space="preserve">2  </w:t>
      </w:r>
      <w:r>
        <w:rPr>
          <w:rFonts w:hint="eastAsia" w:ascii="黑体" w:hAnsi="黑体" w:eastAsia="黑体" w:cs="黑体"/>
          <w:b w:val="0"/>
          <w:bCs w:val="0"/>
          <w:kern w:val="0"/>
          <w:sz w:val="24"/>
          <w:szCs w:val="24"/>
        </w:rPr>
        <w:t>安全生产</w:t>
      </w:r>
      <w:bookmarkEnd w:id="20"/>
    </w:p>
    <w:p w14:paraId="39E152E5">
      <w:pPr>
        <w:spacing w:line="400" w:lineRule="exact"/>
        <w:jc w:val="left"/>
        <w:outlineLvl w:val="1"/>
        <w:rPr>
          <w:rFonts w:ascii="黑体" w:eastAsia="黑体"/>
          <w:b w:val="0"/>
          <w:bCs w:val="0"/>
        </w:rPr>
      </w:pPr>
      <w:r>
        <w:rPr>
          <w:rFonts w:ascii="黑体" w:eastAsia="黑体"/>
          <w:b w:val="0"/>
          <w:bCs w:val="0"/>
        </w:rPr>
        <w:t>1</w:t>
      </w:r>
      <w:r>
        <w:rPr>
          <w:rFonts w:hint="eastAsia" w:ascii="黑体" w:eastAsia="黑体"/>
          <w:b w:val="0"/>
          <w:bCs w:val="0"/>
          <w:lang w:val="en-US" w:eastAsia="zh-CN"/>
        </w:rPr>
        <w:t>2</w:t>
      </w:r>
      <w:r>
        <w:rPr>
          <w:rFonts w:ascii="黑体" w:eastAsia="黑体"/>
          <w:b w:val="0"/>
          <w:bCs w:val="0"/>
        </w:rPr>
        <w:t>.1</w:t>
      </w:r>
      <w:r>
        <w:rPr>
          <w:rFonts w:hint="eastAsia" w:ascii="黑体" w:eastAsia="黑体"/>
          <w:b w:val="0"/>
          <w:bCs w:val="0"/>
          <w:lang w:val="en-US" w:eastAsia="zh-CN"/>
        </w:rPr>
        <w:t xml:space="preserve">  </w:t>
      </w:r>
      <w:r>
        <w:rPr>
          <w:rFonts w:hint="eastAsia" w:ascii="黑体" w:eastAsia="黑体"/>
          <w:b w:val="0"/>
          <w:bCs w:val="0"/>
        </w:rPr>
        <w:t>风险管控</w:t>
      </w:r>
      <w:r>
        <w:rPr>
          <w:rFonts w:ascii="黑体" w:eastAsia="黑体"/>
          <w:b w:val="0"/>
          <w:bCs w:val="0"/>
        </w:rPr>
        <w:t xml:space="preserve"> </w:t>
      </w:r>
    </w:p>
    <w:p w14:paraId="37AAECEB">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2</w:t>
      </w:r>
      <w:r>
        <w:rPr>
          <w:rFonts w:ascii="黑体" w:eastAsia="黑体"/>
          <w:b w:val="0"/>
          <w:bCs w:val="0"/>
        </w:rPr>
        <w:t>.1.1</w:t>
      </w:r>
      <w:r>
        <w:rPr>
          <w:rFonts w:hint="eastAsia" w:ascii="黑体" w:eastAsia="黑体"/>
          <w:b w:val="0"/>
          <w:bCs w:val="0"/>
          <w:lang w:val="en-US" w:eastAsia="zh-CN"/>
        </w:rPr>
        <w:t xml:space="preserve">  </w:t>
      </w:r>
      <w:r>
        <w:rPr>
          <w:b w:val="0"/>
          <w:bCs w:val="0"/>
        </w:rPr>
        <w:t>再生水工业</w:t>
      </w:r>
      <w:r>
        <w:rPr>
          <w:rFonts w:hint="eastAsia"/>
          <w:b w:val="0"/>
          <w:bCs w:val="0"/>
        </w:rPr>
        <w:t>企业</w:t>
      </w:r>
      <w:r>
        <w:rPr>
          <w:b w:val="0"/>
          <w:bCs w:val="0"/>
        </w:rPr>
        <w:t xml:space="preserve">宜关注再生水中的军团菌等致病微生物、有毒有害污染物。 </w:t>
      </w:r>
    </w:p>
    <w:p w14:paraId="4A85F4F6">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2</w:t>
      </w:r>
      <w:r>
        <w:rPr>
          <w:rFonts w:ascii="黑体" w:eastAsia="黑体"/>
          <w:b w:val="0"/>
          <w:bCs w:val="0"/>
        </w:rPr>
        <w:t>.1.2</w:t>
      </w:r>
      <w:r>
        <w:rPr>
          <w:rFonts w:hint="eastAsia" w:ascii="黑体" w:eastAsia="黑体"/>
          <w:b w:val="0"/>
          <w:bCs w:val="0"/>
          <w:lang w:val="en-US" w:eastAsia="zh-CN"/>
        </w:rPr>
        <w:t xml:space="preserve">  </w:t>
      </w:r>
      <w:r>
        <w:rPr>
          <w:b w:val="0"/>
          <w:bCs w:val="0"/>
        </w:rPr>
        <w:t>再生水</w:t>
      </w:r>
      <w:r>
        <w:rPr>
          <w:rFonts w:hint="eastAsia"/>
          <w:b w:val="0"/>
          <w:bCs w:val="0"/>
        </w:rPr>
        <w:t>用于</w:t>
      </w:r>
      <w:r>
        <w:rPr>
          <w:b w:val="0"/>
          <w:bCs w:val="0"/>
        </w:rPr>
        <w:t>工业用水时，与再生水接触的工作人员应采取必要的防护措施。</w:t>
      </w:r>
    </w:p>
    <w:p w14:paraId="770D10D7">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2</w:t>
      </w:r>
      <w:r>
        <w:rPr>
          <w:rFonts w:ascii="黑体" w:eastAsia="黑体"/>
          <w:b w:val="0"/>
          <w:bCs w:val="0"/>
        </w:rPr>
        <w:t xml:space="preserve">.1.3  </w:t>
      </w:r>
      <w:r>
        <w:rPr>
          <w:b w:val="0"/>
          <w:bCs w:val="0"/>
        </w:rPr>
        <w:t>再生水用于工业</w:t>
      </w:r>
      <w:r>
        <w:rPr>
          <w:rFonts w:hint="eastAsia"/>
          <w:b w:val="0"/>
          <w:bCs w:val="0"/>
        </w:rPr>
        <w:t>企业</w:t>
      </w:r>
      <w:r>
        <w:rPr>
          <w:b w:val="0"/>
          <w:bCs w:val="0"/>
        </w:rPr>
        <w:t>道路清扫和洗车等用途时，清洁车辆和洗车机应清楚标识</w:t>
      </w:r>
      <w:r>
        <w:rPr>
          <w:rFonts w:hint="eastAsia"/>
          <w:b w:val="0"/>
          <w:bCs w:val="0"/>
          <w:lang w:eastAsia="zh-CN"/>
        </w:rPr>
        <w:t>“</w:t>
      </w:r>
      <w:r>
        <w:rPr>
          <w:b w:val="0"/>
          <w:bCs w:val="0"/>
        </w:rPr>
        <w:t>再生水</w:t>
      </w:r>
      <w:r>
        <w:rPr>
          <w:rFonts w:hint="eastAsia"/>
          <w:b w:val="0"/>
          <w:bCs w:val="0"/>
          <w:lang w:eastAsia="zh-CN"/>
        </w:rPr>
        <w:t>”</w:t>
      </w:r>
      <w:r>
        <w:rPr>
          <w:b w:val="0"/>
          <w:bCs w:val="0"/>
        </w:rPr>
        <w:t xml:space="preserve">等字样，作业应尽量安排在公众暴露少的时间段，工作人员应采取必要的防护措施。 </w:t>
      </w:r>
    </w:p>
    <w:p w14:paraId="2645F2BA">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2</w:t>
      </w:r>
      <w:r>
        <w:rPr>
          <w:rFonts w:ascii="黑体" w:eastAsia="黑体"/>
          <w:b w:val="0"/>
          <w:bCs w:val="0"/>
        </w:rPr>
        <w:t>.1.4</w:t>
      </w:r>
      <w:r>
        <w:rPr>
          <w:rFonts w:hint="eastAsia" w:ascii="黑体" w:eastAsia="黑体"/>
          <w:b w:val="0"/>
          <w:bCs w:val="0"/>
          <w:lang w:val="en-US" w:eastAsia="zh-CN"/>
        </w:rPr>
        <w:t xml:space="preserve">  </w:t>
      </w:r>
      <w:r>
        <w:rPr>
          <w:b w:val="0"/>
          <w:bCs w:val="0"/>
        </w:rPr>
        <w:t>再生水用于工业</w:t>
      </w:r>
      <w:r>
        <w:rPr>
          <w:rFonts w:hint="eastAsia"/>
          <w:b w:val="0"/>
          <w:bCs w:val="0"/>
        </w:rPr>
        <w:t>企业</w:t>
      </w:r>
      <w:r>
        <w:rPr>
          <w:b w:val="0"/>
          <w:bCs w:val="0"/>
        </w:rPr>
        <w:t>绿地灌溉时，应在显著位置清楚标识</w:t>
      </w:r>
      <w:r>
        <w:rPr>
          <w:rFonts w:hint="eastAsia"/>
          <w:b w:val="0"/>
          <w:bCs w:val="0"/>
          <w:lang w:eastAsia="zh-CN"/>
        </w:rPr>
        <w:t>“</w:t>
      </w:r>
      <w:r>
        <w:rPr>
          <w:b w:val="0"/>
          <w:bCs w:val="0"/>
        </w:rPr>
        <w:t>再生水</w:t>
      </w:r>
      <w:r>
        <w:rPr>
          <w:rFonts w:hint="eastAsia"/>
          <w:b w:val="0"/>
          <w:bCs w:val="0"/>
          <w:lang w:eastAsia="zh-CN"/>
        </w:rPr>
        <w:t>”</w:t>
      </w:r>
      <w:r>
        <w:rPr>
          <w:b w:val="0"/>
          <w:bCs w:val="0"/>
        </w:rPr>
        <w:t>等字样，宜采用滴灌或微喷灌，并关注再生水对土壤、环境和地下水的影响。</w:t>
      </w:r>
    </w:p>
    <w:p w14:paraId="5A36A5B2">
      <w:pPr>
        <w:spacing w:line="400" w:lineRule="exact"/>
        <w:jc w:val="left"/>
        <w:outlineLvl w:val="1"/>
        <w:rPr>
          <w:rFonts w:ascii="黑体" w:eastAsia="黑体"/>
          <w:b w:val="0"/>
          <w:bCs w:val="0"/>
        </w:rPr>
      </w:pPr>
      <w:r>
        <w:rPr>
          <w:rFonts w:ascii="黑体" w:eastAsia="黑体"/>
          <w:b w:val="0"/>
          <w:bCs w:val="0"/>
        </w:rPr>
        <w:t>1</w:t>
      </w:r>
      <w:r>
        <w:rPr>
          <w:rFonts w:hint="eastAsia" w:ascii="黑体" w:eastAsia="黑体"/>
          <w:b w:val="0"/>
          <w:bCs w:val="0"/>
          <w:lang w:val="en-US" w:eastAsia="zh-CN"/>
        </w:rPr>
        <w:t>2</w:t>
      </w:r>
      <w:r>
        <w:rPr>
          <w:rFonts w:ascii="黑体" w:eastAsia="黑体"/>
          <w:b w:val="0"/>
          <w:bCs w:val="0"/>
        </w:rPr>
        <w:t>.2</w:t>
      </w:r>
      <w:r>
        <w:rPr>
          <w:rFonts w:hint="eastAsia" w:ascii="黑体" w:eastAsia="黑体"/>
          <w:b w:val="0"/>
          <w:bCs w:val="0"/>
          <w:lang w:val="en-US" w:eastAsia="zh-CN"/>
        </w:rPr>
        <w:t xml:space="preserve">  </w:t>
      </w:r>
      <w:r>
        <w:rPr>
          <w:rFonts w:hint="eastAsia" w:ascii="黑体" w:eastAsia="黑体"/>
          <w:b w:val="0"/>
          <w:bCs w:val="0"/>
        </w:rPr>
        <w:t>应急</w:t>
      </w:r>
      <w:r>
        <w:rPr>
          <w:rFonts w:ascii="黑体" w:eastAsia="黑体"/>
          <w:b w:val="0"/>
          <w:bCs w:val="0"/>
        </w:rPr>
        <w:t xml:space="preserve">管理 </w:t>
      </w:r>
    </w:p>
    <w:p w14:paraId="581B5A74">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2</w:t>
      </w:r>
      <w:r>
        <w:rPr>
          <w:rFonts w:ascii="黑体" w:eastAsia="黑体"/>
          <w:b w:val="0"/>
          <w:bCs w:val="0"/>
        </w:rPr>
        <w:t>.2.1</w:t>
      </w:r>
      <w:r>
        <w:rPr>
          <w:rFonts w:hint="eastAsia" w:ascii="黑体" w:eastAsia="黑体"/>
          <w:b w:val="0"/>
          <w:bCs w:val="0"/>
          <w:lang w:val="en-US" w:eastAsia="zh-CN"/>
        </w:rPr>
        <w:t xml:space="preserve">  </w:t>
      </w:r>
      <w:r>
        <w:rPr>
          <w:rFonts w:hint="eastAsia"/>
          <w:b w:val="0"/>
          <w:bCs w:val="0"/>
        </w:rPr>
        <w:t>工业企业</w:t>
      </w:r>
      <w:r>
        <w:rPr>
          <w:b w:val="0"/>
          <w:bCs w:val="0"/>
        </w:rPr>
        <w:t>应建立应急管理体系，制定应急预案，并按规定开展培训和演练。</w:t>
      </w:r>
    </w:p>
    <w:p w14:paraId="2C298214">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2</w:t>
      </w:r>
      <w:r>
        <w:rPr>
          <w:rFonts w:ascii="黑体" w:eastAsia="黑体"/>
          <w:b w:val="0"/>
          <w:bCs w:val="0"/>
        </w:rPr>
        <w:t xml:space="preserve">.2.2  </w:t>
      </w:r>
      <w:r>
        <w:rPr>
          <w:rFonts w:hint="eastAsia"/>
          <w:b w:val="0"/>
          <w:bCs w:val="0"/>
        </w:rPr>
        <w:t>工业企业</w:t>
      </w:r>
      <w:r>
        <w:rPr>
          <w:b w:val="0"/>
          <w:bCs w:val="0"/>
        </w:rPr>
        <w:t xml:space="preserve">应制定详细的检修维护制度，配备专业的技术人员。 </w:t>
      </w:r>
    </w:p>
    <w:p w14:paraId="044CF61C">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2</w:t>
      </w:r>
      <w:r>
        <w:rPr>
          <w:rFonts w:ascii="黑体" w:eastAsia="黑体"/>
          <w:b w:val="0"/>
          <w:bCs w:val="0"/>
        </w:rPr>
        <w:t xml:space="preserve">.2.3  </w:t>
      </w:r>
      <w:r>
        <w:rPr>
          <w:rFonts w:hint="eastAsia"/>
          <w:b w:val="0"/>
          <w:bCs w:val="0"/>
        </w:rPr>
        <w:t>工业企业</w:t>
      </w:r>
      <w:r>
        <w:rPr>
          <w:b w:val="0"/>
          <w:bCs w:val="0"/>
        </w:rPr>
        <w:t>应与再生水厂建立沟通联动机制。当进水水质波动较大时，及时联系再生水厂，解决进水水质异常问题。</w:t>
      </w:r>
    </w:p>
    <w:p w14:paraId="78F24A69">
      <w:pPr>
        <w:spacing w:line="400" w:lineRule="exact"/>
        <w:jc w:val="left"/>
        <w:outlineLvl w:val="1"/>
        <w:rPr>
          <w:b w:val="0"/>
          <w:bCs w:val="0"/>
        </w:rPr>
      </w:pPr>
      <w:r>
        <w:rPr>
          <w:rFonts w:ascii="黑体" w:eastAsia="黑体"/>
          <w:b w:val="0"/>
          <w:bCs w:val="0"/>
        </w:rPr>
        <w:t>1</w:t>
      </w:r>
      <w:r>
        <w:rPr>
          <w:rFonts w:hint="eastAsia" w:ascii="黑体" w:eastAsia="黑体"/>
          <w:b w:val="0"/>
          <w:bCs w:val="0"/>
          <w:lang w:val="en-US" w:eastAsia="zh-CN"/>
        </w:rPr>
        <w:t>2</w:t>
      </w:r>
      <w:r>
        <w:rPr>
          <w:rFonts w:ascii="黑体" w:eastAsia="黑体"/>
          <w:b w:val="0"/>
          <w:bCs w:val="0"/>
        </w:rPr>
        <w:t xml:space="preserve">.2.4  </w:t>
      </w:r>
      <w:r>
        <w:rPr>
          <w:rFonts w:hint="eastAsia"/>
          <w:b w:val="0"/>
          <w:bCs w:val="0"/>
        </w:rPr>
        <w:t>工业企业</w:t>
      </w:r>
      <w:r>
        <w:rPr>
          <w:b w:val="0"/>
          <w:bCs w:val="0"/>
        </w:rPr>
        <w:t>应设置备用水源，制定应急供水方案。</w:t>
      </w:r>
    </w:p>
    <w:p w14:paraId="2A65A62D">
      <w:pPr>
        <w:spacing w:line="400" w:lineRule="exact"/>
        <w:jc w:val="left"/>
        <w:outlineLvl w:val="1"/>
        <w:rPr>
          <w:b w:val="0"/>
          <w:bCs w:val="0"/>
        </w:rPr>
      </w:pPr>
      <w:r>
        <w:rPr>
          <w:b w:val="0"/>
          <w:bCs w:val="0"/>
        </w:rPr>
        <w:t xml:space="preserve"> </w:t>
      </w:r>
    </w:p>
    <w:p w14:paraId="5CECBC13">
      <w:pPr>
        <w:pStyle w:val="2"/>
        <w:rPr>
          <w:b w:val="0"/>
          <w:bCs w:val="0"/>
        </w:rPr>
        <w:sectPr>
          <w:headerReference r:id="rId9" w:type="default"/>
          <w:footerReference r:id="rId10" w:type="default"/>
          <w:pgSz w:w="11907" w:h="16839"/>
          <w:pgMar w:top="1418" w:right="1247" w:bottom="1134" w:left="1418" w:header="1418" w:footer="851" w:gutter="0"/>
          <w:cols w:space="720" w:num="1"/>
          <w:docGrid w:type="lines" w:linePitch="312" w:charSpace="0"/>
        </w:sectPr>
      </w:pPr>
    </w:p>
    <w:bookmarkEnd w:id="17"/>
    <w:p w14:paraId="4956B448">
      <w:pPr>
        <w:pStyle w:val="3"/>
        <w:keepNext/>
        <w:keepLines/>
        <w:pageBreakBefore w:val="0"/>
        <w:widowControl w:val="0"/>
        <w:kinsoku/>
        <w:wordWrap/>
        <w:overflowPunct/>
        <w:topLinePunct w:val="0"/>
        <w:autoSpaceDE/>
        <w:autoSpaceDN/>
        <w:bidi w:val="0"/>
        <w:adjustRightInd/>
        <w:snapToGrid w:val="0"/>
        <w:spacing w:before="0" w:after="0" w:line="400" w:lineRule="exact"/>
        <w:jc w:val="center"/>
        <w:textAlignment w:val="auto"/>
        <w:rPr>
          <w:rFonts w:ascii="黑体" w:hAnsi="黑体" w:eastAsia="黑体" w:cs="黑体"/>
          <w:b w:val="0"/>
          <w:bCs w:val="0"/>
          <w:kern w:val="0"/>
          <w:sz w:val="21"/>
          <w:szCs w:val="21"/>
        </w:rPr>
      </w:pPr>
      <w:bookmarkStart w:id="21" w:name="_Toc21956"/>
      <w:r>
        <w:rPr>
          <w:rFonts w:ascii="黑体" w:hAnsi="黑体" w:eastAsia="黑体" w:cs="黑体"/>
          <w:b w:val="0"/>
          <w:bCs w:val="0"/>
          <w:kern w:val="0"/>
          <w:sz w:val="21"/>
          <w:szCs w:val="21"/>
        </w:rPr>
        <w:t>附  录</w:t>
      </w:r>
      <w:r>
        <w:rPr>
          <w:rFonts w:hint="eastAsia" w:ascii="黑体" w:hAnsi="黑体" w:eastAsia="黑体" w:cs="黑体"/>
          <w:b w:val="0"/>
          <w:bCs w:val="0"/>
          <w:kern w:val="0"/>
          <w:sz w:val="21"/>
          <w:szCs w:val="21"/>
          <w:lang w:val="en-US" w:eastAsia="zh-CN"/>
        </w:rPr>
        <w:t xml:space="preserve">  </w:t>
      </w:r>
      <w:r>
        <w:rPr>
          <w:rFonts w:ascii="黑体" w:hAnsi="黑体" w:eastAsia="黑体" w:cs="黑体"/>
          <w:b w:val="0"/>
          <w:bCs w:val="0"/>
          <w:kern w:val="0"/>
          <w:sz w:val="21"/>
          <w:szCs w:val="21"/>
        </w:rPr>
        <w:t>A</w:t>
      </w:r>
      <w:bookmarkEnd w:id="21"/>
    </w:p>
    <w:p w14:paraId="0A0A826E">
      <w:pPr>
        <w:pStyle w:val="3"/>
        <w:keepNext/>
        <w:keepLines/>
        <w:pageBreakBefore w:val="0"/>
        <w:widowControl w:val="0"/>
        <w:kinsoku/>
        <w:wordWrap/>
        <w:overflowPunct/>
        <w:topLinePunct w:val="0"/>
        <w:autoSpaceDE/>
        <w:autoSpaceDN/>
        <w:bidi w:val="0"/>
        <w:adjustRightInd/>
        <w:snapToGrid w:val="0"/>
        <w:spacing w:before="0" w:after="0" w:line="400" w:lineRule="exact"/>
        <w:jc w:val="center"/>
        <w:textAlignment w:val="auto"/>
        <w:rPr>
          <w:rFonts w:ascii="黑体" w:hAnsi="黑体" w:eastAsia="黑体" w:cs="黑体"/>
          <w:b w:val="0"/>
          <w:bCs w:val="0"/>
          <w:kern w:val="0"/>
          <w:sz w:val="21"/>
          <w:szCs w:val="21"/>
        </w:rPr>
      </w:pPr>
      <w:bookmarkStart w:id="22" w:name="_Toc16931"/>
      <w:r>
        <w:rPr>
          <w:rFonts w:ascii="黑体" w:hAnsi="黑体" w:eastAsia="黑体" w:cs="黑体"/>
          <w:b w:val="0"/>
          <w:bCs w:val="0"/>
          <w:kern w:val="0"/>
          <w:sz w:val="21"/>
          <w:szCs w:val="21"/>
        </w:rPr>
        <w:t>（</w:t>
      </w:r>
      <w:r>
        <w:rPr>
          <w:rFonts w:hint="eastAsia" w:ascii="黑体" w:hAnsi="黑体" w:eastAsia="黑体" w:cs="黑体"/>
          <w:b w:val="0"/>
          <w:bCs w:val="0"/>
          <w:kern w:val="0"/>
          <w:sz w:val="21"/>
          <w:szCs w:val="21"/>
        </w:rPr>
        <w:t>资料</w:t>
      </w:r>
      <w:r>
        <w:rPr>
          <w:rFonts w:ascii="黑体" w:hAnsi="黑体" w:eastAsia="黑体" w:cs="黑体"/>
          <w:b w:val="0"/>
          <w:bCs w:val="0"/>
          <w:kern w:val="0"/>
          <w:sz w:val="21"/>
          <w:szCs w:val="21"/>
        </w:rPr>
        <w:t>性）</w:t>
      </w:r>
      <w:bookmarkEnd w:id="22"/>
    </w:p>
    <w:p w14:paraId="617B8DD6">
      <w:pPr>
        <w:pStyle w:val="3"/>
        <w:keepNext/>
        <w:keepLines/>
        <w:pageBreakBefore w:val="0"/>
        <w:widowControl w:val="0"/>
        <w:kinsoku/>
        <w:wordWrap/>
        <w:overflowPunct/>
        <w:topLinePunct w:val="0"/>
        <w:autoSpaceDE/>
        <w:autoSpaceDN/>
        <w:bidi w:val="0"/>
        <w:adjustRightInd/>
        <w:snapToGrid w:val="0"/>
        <w:spacing w:before="0" w:after="0" w:line="400" w:lineRule="exact"/>
        <w:jc w:val="center"/>
        <w:textAlignment w:val="auto"/>
        <w:rPr>
          <w:rFonts w:ascii="黑体" w:hAnsi="黑体" w:eastAsia="黑体" w:cs="黑体"/>
          <w:b w:val="0"/>
          <w:bCs w:val="0"/>
          <w:kern w:val="0"/>
          <w:sz w:val="21"/>
          <w:szCs w:val="21"/>
        </w:rPr>
      </w:pPr>
      <w:bookmarkStart w:id="23" w:name="_Toc2533"/>
      <w:r>
        <w:rPr>
          <w:rFonts w:hint="eastAsia" w:ascii="黑体" w:hAnsi="黑体" w:eastAsia="黑体" w:cs="黑体"/>
          <w:b w:val="0"/>
          <w:bCs w:val="0"/>
          <w:kern w:val="0"/>
          <w:sz w:val="21"/>
          <w:szCs w:val="21"/>
        </w:rPr>
        <w:t>化学稳定性评价</w:t>
      </w:r>
      <w:bookmarkEnd w:id="23"/>
    </w:p>
    <w:p w14:paraId="4E3EE8C5">
      <w:pPr>
        <w:spacing w:line="400" w:lineRule="exact"/>
        <w:ind w:firstLine="420"/>
        <w:jc w:val="left"/>
        <w:rPr>
          <w:bCs/>
        </w:rPr>
      </w:pPr>
      <w:r>
        <w:rPr>
          <w:rFonts w:hint="eastAsia"/>
          <w:bCs/>
        </w:rPr>
        <w:t>再生水化学稳定性评价指标见表</w:t>
      </w:r>
      <w:r>
        <w:rPr>
          <w:rFonts w:hint="eastAsia" w:asciiTheme="minorEastAsia" w:hAnsiTheme="minorEastAsia" w:eastAsiaTheme="minorEastAsia"/>
          <w:kern w:val="0"/>
          <w:szCs w:val="21"/>
        </w:rPr>
        <w:t>A</w:t>
      </w:r>
      <w:r>
        <w:rPr>
          <w:rFonts w:asciiTheme="minorEastAsia" w:hAnsiTheme="minorEastAsia" w:eastAsiaTheme="minorEastAsia"/>
          <w:kern w:val="0"/>
          <w:szCs w:val="21"/>
        </w:rPr>
        <w:t>.1</w:t>
      </w:r>
      <w:r>
        <w:rPr>
          <w:rFonts w:hint="eastAsia"/>
          <w:bCs/>
        </w:rPr>
        <w:t>。不同管网材料和设备类型宜选取的化学稳定性评价指标见表</w:t>
      </w:r>
      <w:r>
        <w:rPr>
          <w:rFonts w:hint="eastAsia" w:asciiTheme="minorEastAsia" w:hAnsiTheme="minorEastAsia" w:eastAsiaTheme="minorEastAsia"/>
          <w:kern w:val="0"/>
          <w:szCs w:val="21"/>
        </w:rPr>
        <w:t>A</w:t>
      </w:r>
      <w:r>
        <w:rPr>
          <w:rFonts w:asciiTheme="minorEastAsia" w:hAnsiTheme="minorEastAsia" w:eastAsiaTheme="minorEastAsia"/>
          <w:kern w:val="0"/>
          <w:szCs w:val="21"/>
        </w:rPr>
        <w:t>.2</w:t>
      </w:r>
      <w:r>
        <w:rPr>
          <w:rFonts w:hint="eastAsia"/>
          <w:bCs/>
        </w:rPr>
        <w:t>。</w:t>
      </w:r>
    </w:p>
    <w:p w14:paraId="476EDA48">
      <w:pPr>
        <w:spacing w:line="400" w:lineRule="exact"/>
        <w:jc w:val="center"/>
        <w:rPr>
          <w:rFonts w:ascii="黑体" w:hAnsi="黑体" w:eastAsia="黑体"/>
        </w:rPr>
      </w:pPr>
      <w:r>
        <w:rPr>
          <w:rFonts w:hint="eastAsia" w:ascii="黑体" w:hAnsi="黑体" w:eastAsia="黑体"/>
        </w:rPr>
        <w:t>表A</w:t>
      </w:r>
      <w:r>
        <w:rPr>
          <w:rFonts w:ascii="黑体" w:hAnsi="黑体" w:eastAsia="黑体"/>
        </w:rPr>
        <w:t xml:space="preserve">.1  </w:t>
      </w:r>
      <w:r>
        <w:rPr>
          <w:rFonts w:hint="eastAsia" w:ascii="黑体" w:hAnsi="黑体" w:eastAsia="黑体"/>
        </w:rPr>
        <w:t>再生水化学稳定性评价指标</w:t>
      </w:r>
    </w:p>
    <w:tbl>
      <w:tblPr>
        <w:tblStyle w:val="7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5551"/>
      </w:tblGrid>
      <w:tr w14:paraId="3476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vAlign w:val="center"/>
          </w:tcPr>
          <w:p w14:paraId="5ED37AA7">
            <w:pPr>
              <w:pStyle w:val="2"/>
              <w:spacing w:line="240" w:lineRule="auto"/>
              <w:jc w:val="center"/>
              <w:rPr>
                <w:color w:val="auto"/>
              </w:rPr>
            </w:pPr>
            <w:r>
              <w:rPr>
                <w:rFonts w:hint="eastAsia"/>
                <w:color w:val="auto"/>
              </w:rPr>
              <w:t>指标</w:t>
            </w:r>
          </w:p>
        </w:tc>
        <w:tc>
          <w:tcPr>
            <w:tcW w:w="5551" w:type="dxa"/>
            <w:vAlign w:val="center"/>
          </w:tcPr>
          <w:p w14:paraId="17FB9462">
            <w:pPr>
              <w:pStyle w:val="2"/>
              <w:spacing w:line="240" w:lineRule="auto"/>
              <w:jc w:val="center"/>
              <w:rPr>
                <w:color w:val="auto"/>
              </w:rPr>
            </w:pPr>
            <w:r>
              <w:rPr>
                <w:rFonts w:hint="eastAsia"/>
                <w:color w:val="auto"/>
              </w:rPr>
              <w:t>说明</w:t>
            </w:r>
          </w:p>
        </w:tc>
      </w:tr>
      <w:tr w14:paraId="2B0A1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vAlign w:val="center"/>
          </w:tcPr>
          <w:p w14:paraId="28A9BB7E">
            <w:pPr>
              <w:pStyle w:val="2"/>
              <w:spacing w:line="240" w:lineRule="auto"/>
              <w:jc w:val="left"/>
              <w:rPr>
                <w:color w:val="auto"/>
              </w:rPr>
            </w:pPr>
            <w:r>
              <w:rPr>
                <w:rFonts w:hint="eastAsia"/>
                <w:color w:val="auto"/>
              </w:rPr>
              <w:t>p</w:t>
            </w:r>
            <w:r>
              <w:rPr>
                <w:color w:val="auto"/>
              </w:rPr>
              <w:t>H</w:t>
            </w:r>
          </w:p>
        </w:tc>
        <w:tc>
          <w:tcPr>
            <w:tcW w:w="5551" w:type="dxa"/>
            <w:vAlign w:val="center"/>
          </w:tcPr>
          <w:p w14:paraId="05F1E09F">
            <w:pPr>
              <w:pStyle w:val="2"/>
              <w:spacing w:line="240" w:lineRule="auto"/>
              <w:jc w:val="left"/>
              <w:rPr>
                <w:color w:val="auto"/>
              </w:rPr>
            </w:pPr>
            <w:r>
              <w:rPr>
                <w:rFonts w:hint="eastAsia"/>
                <w:color w:val="auto"/>
              </w:rPr>
              <w:t>影响腐蚀和结垢</w:t>
            </w:r>
          </w:p>
        </w:tc>
      </w:tr>
      <w:tr w14:paraId="60E3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vAlign w:val="center"/>
          </w:tcPr>
          <w:p w14:paraId="2B01F789">
            <w:pPr>
              <w:pStyle w:val="2"/>
              <w:spacing w:line="240" w:lineRule="auto"/>
              <w:jc w:val="left"/>
              <w:rPr>
                <w:color w:val="auto"/>
              </w:rPr>
            </w:pPr>
            <w:r>
              <w:rPr>
                <w:rFonts w:hint="eastAsia"/>
                <w:color w:val="auto"/>
              </w:rPr>
              <w:t>总硬度</w:t>
            </w:r>
          </w:p>
        </w:tc>
        <w:tc>
          <w:tcPr>
            <w:tcW w:w="5551" w:type="dxa"/>
            <w:vAlign w:val="center"/>
          </w:tcPr>
          <w:p w14:paraId="2F7A1B52">
            <w:pPr>
              <w:pStyle w:val="2"/>
              <w:spacing w:line="240" w:lineRule="auto"/>
              <w:jc w:val="left"/>
              <w:rPr>
                <w:color w:val="auto"/>
              </w:rPr>
            </w:pPr>
            <w:r>
              <w:rPr>
                <w:rFonts w:hint="eastAsia"/>
                <w:color w:val="auto"/>
              </w:rPr>
              <w:t>影响结垢和腐蚀</w:t>
            </w:r>
          </w:p>
        </w:tc>
      </w:tr>
      <w:tr w14:paraId="05B0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vAlign w:val="center"/>
          </w:tcPr>
          <w:p w14:paraId="1EE147D8">
            <w:pPr>
              <w:pStyle w:val="2"/>
              <w:spacing w:line="240" w:lineRule="auto"/>
              <w:jc w:val="left"/>
              <w:rPr>
                <w:color w:val="auto"/>
              </w:rPr>
            </w:pPr>
            <w:r>
              <w:rPr>
                <w:rFonts w:hint="eastAsia"/>
                <w:color w:val="auto"/>
              </w:rPr>
              <w:t>总碱度</w:t>
            </w:r>
          </w:p>
        </w:tc>
        <w:tc>
          <w:tcPr>
            <w:tcW w:w="5551" w:type="dxa"/>
            <w:vAlign w:val="center"/>
          </w:tcPr>
          <w:p w14:paraId="06D1B29F">
            <w:pPr>
              <w:pStyle w:val="2"/>
              <w:spacing w:line="240" w:lineRule="auto"/>
              <w:jc w:val="left"/>
              <w:rPr>
                <w:color w:val="auto"/>
              </w:rPr>
            </w:pPr>
            <w:r>
              <w:rPr>
                <w:rFonts w:hint="eastAsia"/>
                <w:color w:val="auto"/>
              </w:rPr>
              <w:t>影响腐蚀和结垢</w:t>
            </w:r>
          </w:p>
        </w:tc>
      </w:tr>
      <w:tr w14:paraId="0FED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vAlign w:val="center"/>
          </w:tcPr>
          <w:p w14:paraId="4372909C">
            <w:pPr>
              <w:pStyle w:val="2"/>
              <w:spacing w:line="240" w:lineRule="auto"/>
              <w:jc w:val="left"/>
              <w:rPr>
                <w:color w:val="auto"/>
              </w:rPr>
            </w:pPr>
            <w:r>
              <w:rPr>
                <w:rFonts w:hint="eastAsia"/>
                <w:color w:val="auto"/>
              </w:rPr>
              <w:t>总溶解性固体</w:t>
            </w:r>
          </w:p>
        </w:tc>
        <w:tc>
          <w:tcPr>
            <w:tcW w:w="5551" w:type="dxa"/>
            <w:vAlign w:val="center"/>
          </w:tcPr>
          <w:p w14:paraId="11ED928C">
            <w:pPr>
              <w:pStyle w:val="2"/>
              <w:spacing w:line="240" w:lineRule="auto"/>
              <w:jc w:val="left"/>
              <w:rPr>
                <w:color w:val="auto"/>
              </w:rPr>
            </w:pPr>
            <w:r>
              <w:rPr>
                <w:rFonts w:hint="eastAsia"/>
                <w:color w:val="auto"/>
              </w:rPr>
              <w:t>影响腐蚀和结垢</w:t>
            </w:r>
          </w:p>
        </w:tc>
      </w:tr>
      <w:tr w14:paraId="10F34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vAlign w:val="center"/>
          </w:tcPr>
          <w:p w14:paraId="3028924D">
            <w:pPr>
              <w:pStyle w:val="2"/>
              <w:spacing w:line="240" w:lineRule="auto"/>
              <w:jc w:val="left"/>
              <w:rPr>
                <w:color w:val="auto"/>
              </w:rPr>
            </w:pPr>
            <w:r>
              <w:rPr>
                <w:rFonts w:hint="eastAsia"/>
                <w:color w:val="auto"/>
              </w:rPr>
              <w:t>浊度</w:t>
            </w:r>
          </w:p>
        </w:tc>
        <w:tc>
          <w:tcPr>
            <w:tcW w:w="5551" w:type="dxa"/>
            <w:vAlign w:val="center"/>
          </w:tcPr>
          <w:p w14:paraId="3484DC60">
            <w:pPr>
              <w:pStyle w:val="2"/>
              <w:spacing w:line="240" w:lineRule="auto"/>
              <w:jc w:val="left"/>
              <w:rPr>
                <w:color w:val="auto"/>
              </w:rPr>
            </w:pPr>
            <w:r>
              <w:rPr>
                <w:rFonts w:hint="eastAsia"/>
                <w:color w:val="auto"/>
              </w:rPr>
              <w:t>浊度高易结垢</w:t>
            </w:r>
          </w:p>
        </w:tc>
      </w:tr>
      <w:tr w14:paraId="08ED1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vAlign w:val="center"/>
          </w:tcPr>
          <w:p w14:paraId="3BCB2BB0">
            <w:pPr>
              <w:pStyle w:val="2"/>
              <w:spacing w:line="240" w:lineRule="auto"/>
              <w:jc w:val="left"/>
              <w:rPr>
                <w:color w:val="auto"/>
              </w:rPr>
            </w:pPr>
            <w:r>
              <w:rPr>
                <w:rFonts w:hint="eastAsia"/>
                <w:color w:val="auto"/>
              </w:rPr>
              <w:t>Lange</w:t>
            </w:r>
            <w:r>
              <w:rPr>
                <w:color w:val="auto"/>
              </w:rPr>
              <w:t xml:space="preserve">lier </w:t>
            </w:r>
            <w:r>
              <w:rPr>
                <w:rFonts w:hint="eastAsia"/>
                <w:color w:val="auto"/>
              </w:rPr>
              <w:t>饱和指数（L</w:t>
            </w:r>
            <w:r>
              <w:rPr>
                <w:color w:val="auto"/>
              </w:rPr>
              <w:t>SI</w:t>
            </w:r>
            <w:r>
              <w:rPr>
                <w:rFonts w:hint="eastAsia"/>
                <w:color w:val="auto"/>
              </w:rPr>
              <w:t>）</w:t>
            </w:r>
          </w:p>
        </w:tc>
        <w:tc>
          <w:tcPr>
            <w:tcW w:w="5551" w:type="dxa"/>
            <w:vAlign w:val="center"/>
          </w:tcPr>
          <w:p w14:paraId="7F32208C">
            <w:pPr>
              <w:pStyle w:val="2"/>
              <w:spacing w:line="240" w:lineRule="auto"/>
              <w:jc w:val="left"/>
              <w:rPr>
                <w:color w:val="auto"/>
              </w:rPr>
            </w:pPr>
            <w:r>
              <w:rPr>
                <w:rFonts w:hint="eastAsia"/>
                <w:color w:val="auto"/>
              </w:rPr>
              <w:t>＜0，具有腐蚀倾向；=</w:t>
            </w:r>
            <w:r>
              <w:rPr>
                <w:color w:val="auto"/>
              </w:rPr>
              <w:t>0</w:t>
            </w:r>
            <w:r>
              <w:rPr>
                <w:rFonts w:hint="eastAsia"/>
                <w:color w:val="auto"/>
              </w:rPr>
              <w:t>，基本稳定；＞0，具有结垢倾向</w:t>
            </w:r>
          </w:p>
        </w:tc>
      </w:tr>
      <w:tr w14:paraId="6751E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vAlign w:val="center"/>
          </w:tcPr>
          <w:p w14:paraId="5DFB1481">
            <w:pPr>
              <w:pStyle w:val="2"/>
              <w:spacing w:line="240" w:lineRule="auto"/>
              <w:jc w:val="left"/>
              <w:rPr>
                <w:color w:val="auto"/>
              </w:rPr>
            </w:pPr>
            <w:r>
              <w:rPr>
                <w:rFonts w:hint="eastAsia"/>
                <w:color w:val="auto"/>
              </w:rPr>
              <w:t>R</w:t>
            </w:r>
            <w:r>
              <w:rPr>
                <w:color w:val="auto"/>
              </w:rPr>
              <w:t xml:space="preserve">yznar </w:t>
            </w:r>
            <w:r>
              <w:rPr>
                <w:rFonts w:hint="eastAsia"/>
                <w:color w:val="auto"/>
              </w:rPr>
              <w:t>稳定指数（R</w:t>
            </w:r>
            <w:r>
              <w:rPr>
                <w:color w:val="auto"/>
              </w:rPr>
              <w:t>SI</w:t>
            </w:r>
            <w:r>
              <w:rPr>
                <w:rFonts w:hint="eastAsia"/>
                <w:color w:val="auto"/>
              </w:rPr>
              <w:t>）</w:t>
            </w:r>
          </w:p>
        </w:tc>
        <w:tc>
          <w:tcPr>
            <w:tcW w:w="5551" w:type="dxa"/>
            <w:vAlign w:val="center"/>
          </w:tcPr>
          <w:p w14:paraId="18F82FDA">
            <w:pPr>
              <w:pStyle w:val="2"/>
              <w:spacing w:line="240" w:lineRule="auto"/>
              <w:jc w:val="left"/>
              <w:rPr>
                <w:color w:val="auto"/>
              </w:rPr>
            </w:pPr>
            <w:r>
              <w:rPr>
                <w:rFonts w:hint="eastAsia"/>
                <w:color w:val="auto"/>
              </w:rPr>
              <w:t>＜3</w:t>
            </w:r>
            <w:r>
              <w:rPr>
                <w:color w:val="auto"/>
              </w:rPr>
              <w:t>.7</w:t>
            </w:r>
            <w:r>
              <w:rPr>
                <w:rFonts w:hint="eastAsia"/>
                <w:color w:val="auto"/>
              </w:rPr>
              <w:t>，严重结垢；3</w:t>
            </w:r>
            <w:r>
              <w:rPr>
                <w:color w:val="auto"/>
              </w:rPr>
              <w:t>.7~6</w:t>
            </w:r>
            <w:r>
              <w:rPr>
                <w:rFonts w:hint="eastAsia"/>
                <w:color w:val="auto"/>
              </w:rPr>
              <w:t>，轻微结垢；=</w:t>
            </w:r>
            <w:r>
              <w:rPr>
                <w:color w:val="auto"/>
              </w:rPr>
              <w:t>6</w:t>
            </w:r>
            <w:r>
              <w:rPr>
                <w:rFonts w:hint="eastAsia"/>
                <w:color w:val="auto"/>
              </w:rPr>
              <w:t>基本稳定；</w:t>
            </w:r>
          </w:p>
          <w:p w14:paraId="542D96CC">
            <w:pPr>
              <w:pStyle w:val="2"/>
              <w:spacing w:line="240" w:lineRule="auto"/>
              <w:jc w:val="left"/>
              <w:rPr>
                <w:color w:val="auto"/>
              </w:rPr>
            </w:pPr>
            <w:r>
              <w:rPr>
                <w:rFonts w:hint="eastAsia"/>
                <w:color w:val="auto"/>
              </w:rPr>
              <w:t>6</w:t>
            </w:r>
            <w:r>
              <w:rPr>
                <w:color w:val="auto"/>
              </w:rPr>
              <w:t>~7.5</w:t>
            </w:r>
            <w:r>
              <w:rPr>
                <w:rFonts w:hint="eastAsia"/>
                <w:color w:val="auto"/>
              </w:rPr>
              <w:t>，轻微腐蚀；＞7</w:t>
            </w:r>
            <w:r>
              <w:rPr>
                <w:color w:val="auto"/>
              </w:rPr>
              <w:t>.5</w:t>
            </w:r>
            <w:r>
              <w:rPr>
                <w:rFonts w:hint="eastAsia"/>
                <w:color w:val="auto"/>
              </w:rPr>
              <w:t>，严重腐蚀</w:t>
            </w:r>
          </w:p>
        </w:tc>
      </w:tr>
      <w:tr w14:paraId="7DF34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vAlign w:val="center"/>
          </w:tcPr>
          <w:p w14:paraId="48A9A98D">
            <w:pPr>
              <w:pStyle w:val="2"/>
              <w:spacing w:line="240" w:lineRule="auto"/>
              <w:jc w:val="left"/>
              <w:rPr>
                <w:color w:val="auto"/>
              </w:rPr>
            </w:pPr>
            <w:r>
              <w:rPr>
                <w:rFonts w:hint="eastAsia"/>
                <w:color w:val="auto"/>
              </w:rPr>
              <w:t>碳酸钙沉淀势（C</w:t>
            </w:r>
            <w:r>
              <w:rPr>
                <w:color w:val="auto"/>
              </w:rPr>
              <w:t>CPP</w:t>
            </w:r>
            <w:r>
              <w:rPr>
                <w:rFonts w:hint="eastAsia"/>
                <w:color w:val="auto"/>
              </w:rPr>
              <w:t>）</w:t>
            </w:r>
          </w:p>
        </w:tc>
        <w:tc>
          <w:tcPr>
            <w:tcW w:w="5551" w:type="dxa"/>
            <w:vAlign w:val="center"/>
          </w:tcPr>
          <w:p w14:paraId="4153F07F">
            <w:pPr>
              <w:pStyle w:val="2"/>
              <w:spacing w:line="240" w:lineRule="auto"/>
              <w:jc w:val="left"/>
              <w:rPr>
                <w:color w:val="auto"/>
              </w:rPr>
            </w:pPr>
            <w:r>
              <w:rPr>
                <w:rFonts w:hint="eastAsia"/>
                <w:color w:val="auto"/>
              </w:rPr>
              <w:t>＜</w:t>
            </w:r>
            <w:r>
              <w:rPr>
                <w:color w:val="auto"/>
              </w:rPr>
              <w:t>-5</w:t>
            </w:r>
            <w:r>
              <w:rPr>
                <w:rFonts w:hint="eastAsia"/>
                <w:color w:val="auto"/>
              </w:rPr>
              <w:t>，严重腐蚀；-</w:t>
            </w:r>
            <w:r>
              <w:rPr>
                <w:color w:val="auto"/>
              </w:rPr>
              <w:t>5~0</w:t>
            </w:r>
            <w:r>
              <w:rPr>
                <w:rFonts w:hint="eastAsia"/>
                <w:color w:val="auto"/>
              </w:rPr>
              <w:t>，轻微腐蚀；0</w:t>
            </w:r>
            <w:r>
              <w:rPr>
                <w:color w:val="auto"/>
              </w:rPr>
              <w:t>~4</w:t>
            </w:r>
            <w:r>
              <w:rPr>
                <w:rFonts w:hint="eastAsia"/>
                <w:color w:val="auto"/>
              </w:rPr>
              <w:t>，基本稳定；</w:t>
            </w:r>
          </w:p>
          <w:p w14:paraId="525F3A4E">
            <w:pPr>
              <w:pStyle w:val="2"/>
              <w:spacing w:line="240" w:lineRule="auto"/>
              <w:jc w:val="left"/>
              <w:rPr>
                <w:color w:val="auto"/>
              </w:rPr>
            </w:pPr>
            <w:r>
              <w:rPr>
                <w:color w:val="auto"/>
              </w:rPr>
              <w:t>4~10</w:t>
            </w:r>
            <w:r>
              <w:rPr>
                <w:rFonts w:hint="eastAsia"/>
                <w:color w:val="auto"/>
              </w:rPr>
              <w:t>，轻微结垢；＞1</w:t>
            </w:r>
            <w:r>
              <w:rPr>
                <w:color w:val="auto"/>
              </w:rPr>
              <w:t>0</w:t>
            </w:r>
            <w:r>
              <w:rPr>
                <w:rFonts w:hint="eastAsia"/>
                <w:color w:val="auto"/>
              </w:rPr>
              <w:t>，严重结垢</w:t>
            </w:r>
          </w:p>
        </w:tc>
      </w:tr>
      <w:tr w14:paraId="05B02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vAlign w:val="center"/>
          </w:tcPr>
          <w:p w14:paraId="2F67CA9A">
            <w:pPr>
              <w:pStyle w:val="2"/>
              <w:spacing w:line="240" w:lineRule="auto"/>
              <w:jc w:val="left"/>
              <w:rPr>
                <w:color w:val="auto"/>
              </w:rPr>
            </w:pPr>
            <w:r>
              <w:rPr>
                <w:rFonts w:hint="eastAsia"/>
                <w:color w:val="auto"/>
              </w:rPr>
              <w:t>侵蚀指数（A</w:t>
            </w:r>
            <w:r>
              <w:rPr>
                <w:color w:val="auto"/>
              </w:rPr>
              <w:t>I</w:t>
            </w:r>
            <w:r>
              <w:rPr>
                <w:rFonts w:hint="eastAsia"/>
                <w:color w:val="auto"/>
              </w:rPr>
              <w:t>）</w:t>
            </w:r>
          </w:p>
        </w:tc>
        <w:tc>
          <w:tcPr>
            <w:tcW w:w="5551" w:type="dxa"/>
            <w:vAlign w:val="center"/>
          </w:tcPr>
          <w:p w14:paraId="58B9DA9B">
            <w:pPr>
              <w:pStyle w:val="2"/>
              <w:spacing w:line="240" w:lineRule="auto"/>
              <w:jc w:val="left"/>
              <w:rPr>
                <w:color w:val="auto"/>
              </w:rPr>
            </w:pPr>
            <w:r>
              <w:rPr>
                <w:rFonts w:hint="eastAsia"/>
                <w:color w:val="auto"/>
              </w:rPr>
              <w:t>＜1</w:t>
            </w:r>
            <w:r>
              <w:rPr>
                <w:color w:val="auto"/>
              </w:rPr>
              <w:t>0</w:t>
            </w:r>
            <w:r>
              <w:rPr>
                <w:rFonts w:hint="eastAsia"/>
                <w:color w:val="auto"/>
              </w:rPr>
              <w:t>，严重腐蚀；1</w:t>
            </w:r>
            <w:r>
              <w:rPr>
                <w:color w:val="auto"/>
              </w:rPr>
              <w:t>0~12</w:t>
            </w:r>
            <w:r>
              <w:rPr>
                <w:rFonts w:hint="eastAsia"/>
                <w:color w:val="auto"/>
              </w:rPr>
              <w:t>，轻微腐蚀；＞1</w:t>
            </w:r>
            <w:r>
              <w:rPr>
                <w:color w:val="auto"/>
              </w:rPr>
              <w:t>2</w:t>
            </w:r>
            <w:r>
              <w:rPr>
                <w:rFonts w:hint="eastAsia"/>
                <w:color w:val="auto"/>
              </w:rPr>
              <w:t>，基本稳定</w:t>
            </w:r>
          </w:p>
        </w:tc>
      </w:tr>
      <w:tr w14:paraId="6D13D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vAlign w:val="center"/>
          </w:tcPr>
          <w:p w14:paraId="7AF9F357">
            <w:pPr>
              <w:pStyle w:val="2"/>
              <w:spacing w:line="240" w:lineRule="auto"/>
              <w:jc w:val="left"/>
              <w:rPr>
                <w:color w:val="auto"/>
              </w:rPr>
            </w:pPr>
            <w:r>
              <w:rPr>
                <w:rFonts w:hint="eastAsia"/>
                <w:color w:val="auto"/>
              </w:rPr>
              <w:t>L</w:t>
            </w:r>
            <w:r>
              <w:rPr>
                <w:color w:val="auto"/>
              </w:rPr>
              <w:t>arson</w:t>
            </w:r>
            <w:r>
              <w:rPr>
                <w:rFonts w:hint="eastAsia"/>
                <w:color w:val="auto"/>
              </w:rPr>
              <w:t>腐蚀指数（</w:t>
            </w:r>
            <w:r>
              <w:rPr>
                <w:color w:val="auto"/>
              </w:rPr>
              <w:t>LR</w:t>
            </w:r>
            <w:r>
              <w:rPr>
                <w:rFonts w:hint="eastAsia"/>
                <w:color w:val="auto"/>
              </w:rPr>
              <w:t>）</w:t>
            </w:r>
          </w:p>
        </w:tc>
        <w:tc>
          <w:tcPr>
            <w:tcW w:w="5551" w:type="dxa"/>
            <w:vAlign w:val="center"/>
          </w:tcPr>
          <w:p w14:paraId="18AA0805">
            <w:pPr>
              <w:pStyle w:val="2"/>
              <w:spacing w:line="240" w:lineRule="auto"/>
              <w:jc w:val="left"/>
              <w:rPr>
                <w:color w:val="auto"/>
              </w:rPr>
            </w:pPr>
            <w:r>
              <w:rPr>
                <w:rFonts w:hint="eastAsia"/>
                <w:color w:val="auto"/>
              </w:rPr>
              <w:t>＜0</w:t>
            </w:r>
            <w:r>
              <w:rPr>
                <w:color w:val="auto"/>
              </w:rPr>
              <w:t>.3</w:t>
            </w:r>
            <w:r>
              <w:rPr>
                <w:rFonts w:hint="eastAsia"/>
                <w:color w:val="auto"/>
              </w:rPr>
              <w:t>，基本稳定；0</w:t>
            </w:r>
            <w:r>
              <w:rPr>
                <w:color w:val="auto"/>
              </w:rPr>
              <w:t>.3~0.7</w:t>
            </w:r>
            <w:r>
              <w:rPr>
                <w:rFonts w:hint="eastAsia"/>
                <w:color w:val="auto"/>
              </w:rPr>
              <w:t>，轻微腐蚀；＞0</w:t>
            </w:r>
            <w:r>
              <w:rPr>
                <w:color w:val="auto"/>
              </w:rPr>
              <w:t>.7</w:t>
            </w:r>
            <w:r>
              <w:rPr>
                <w:rFonts w:hint="eastAsia"/>
                <w:color w:val="auto"/>
              </w:rPr>
              <w:t>，严重腐蚀</w:t>
            </w:r>
          </w:p>
        </w:tc>
      </w:tr>
      <w:tr w14:paraId="33B71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vAlign w:val="center"/>
          </w:tcPr>
          <w:p w14:paraId="234F378B">
            <w:pPr>
              <w:pStyle w:val="2"/>
              <w:spacing w:line="240" w:lineRule="auto"/>
              <w:jc w:val="left"/>
              <w:rPr>
                <w:color w:val="auto"/>
              </w:rPr>
            </w:pPr>
            <w:r>
              <w:rPr>
                <w:rFonts w:hint="eastAsia"/>
                <w:color w:val="auto"/>
              </w:rPr>
              <w:t>R</w:t>
            </w:r>
            <w:r>
              <w:rPr>
                <w:color w:val="auto"/>
              </w:rPr>
              <w:t xml:space="preserve">iddick </w:t>
            </w:r>
            <w:r>
              <w:rPr>
                <w:rFonts w:hint="eastAsia"/>
                <w:color w:val="auto"/>
              </w:rPr>
              <w:t>腐蚀指数（R</w:t>
            </w:r>
            <w:r>
              <w:rPr>
                <w:color w:val="auto"/>
              </w:rPr>
              <w:t>I</w:t>
            </w:r>
            <w:r>
              <w:rPr>
                <w:rFonts w:hint="eastAsia"/>
                <w:color w:val="auto"/>
              </w:rPr>
              <w:t>）</w:t>
            </w:r>
          </w:p>
        </w:tc>
        <w:tc>
          <w:tcPr>
            <w:tcW w:w="5551" w:type="dxa"/>
            <w:vAlign w:val="center"/>
          </w:tcPr>
          <w:p w14:paraId="0670D561">
            <w:pPr>
              <w:pStyle w:val="2"/>
              <w:spacing w:line="240" w:lineRule="auto"/>
              <w:jc w:val="left"/>
              <w:rPr>
                <w:color w:val="auto"/>
              </w:rPr>
            </w:pPr>
            <w:r>
              <w:rPr>
                <w:rFonts w:hint="eastAsia"/>
                <w:color w:val="auto"/>
              </w:rPr>
              <w:t>＜2</w:t>
            </w:r>
            <w:r>
              <w:rPr>
                <w:color w:val="auto"/>
              </w:rPr>
              <w:t>5</w:t>
            </w:r>
            <w:r>
              <w:rPr>
                <w:rFonts w:hint="eastAsia"/>
                <w:color w:val="auto"/>
              </w:rPr>
              <w:t>，基本稳定；2</w:t>
            </w:r>
            <w:r>
              <w:rPr>
                <w:color w:val="auto"/>
              </w:rPr>
              <w:t>5~50</w:t>
            </w:r>
            <w:r>
              <w:rPr>
                <w:rFonts w:hint="eastAsia"/>
                <w:color w:val="auto"/>
              </w:rPr>
              <w:t>，轻微腐蚀；＞5</w:t>
            </w:r>
            <w:r>
              <w:rPr>
                <w:color w:val="auto"/>
              </w:rPr>
              <w:t>0</w:t>
            </w:r>
            <w:r>
              <w:rPr>
                <w:rFonts w:hint="eastAsia"/>
                <w:color w:val="auto"/>
              </w:rPr>
              <w:t>，严重腐蚀</w:t>
            </w:r>
          </w:p>
        </w:tc>
      </w:tr>
    </w:tbl>
    <w:p w14:paraId="27709581">
      <w:pPr>
        <w:spacing w:before="312" w:beforeLines="100" w:line="400" w:lineRule="exact"/>
        <w:jc w:val="center"/>
        <w:rPr>
          <w:rFonts w:ascii="黑体" w:hAnsi="黑体" w:eastAsia="黑体"/>
        </w:rPr>
      </w:pPr>
      <w:r>
        <w:rPr>
          <w:rFonts w:hint="eastAsia" w:ascii="黑体" w:hAnsi="黑体" w:eastAsia="黑体"/>
        </w:rPr>
        <w:t>表A</w:t>
      </w:r>
      <w:r>
        <w:rPr>
          <w:rFonts w:ascii="黑体" w:hAnsi="黑体" w:eastAsia="黑体"/>
        </w:rPr>
        <w:t xml:space="preserve">.2  </w:t>
      </w:r>
      <w:r>
        <w:rPr>
          <w:rFonts w:hint="eastAsia" w:ascii="黑体" w:hAnsi="黑体" w:eastAsia="黑体"/>
        </w:rPr>
        <w:t>针对典型管网和设备推荐的化学稳定性评价指标</w:t>
      </w:r>
    </w:p>
    <w:tbl>
      <w:tblPr>
        <w:tblStyle w:val="7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50"/>
        <w:gridCol w:w="993"/>
        <w:gridCol w:w="1559"/>
        <w:gridCol w:w="709"/>
        <w:gridCol w:w="1197"/>
        <w:gridCol w:w="1026"/>
        <w:gridCol w:w="1026"/>
        <w:gridCol w:w="1026"/>
      </w:tblGrid>
      <w:tr w14:paraId="553B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gridSpan w:val="2"/>
            <w:vMerge w:val="restart"/>
          </w:tcPr>
          <w:p w14:paraId="66910B66">
            <w:pPr>
              <w:pStyle w:val="2"/>
              <w:spacing w:line="240" w:lineRule="auto"/>
              <w:jc w:val="center"/>
              <w:rPr>
                <w:color w:val="auto"/>
              </w:rPr>
            </w:pPr>
            <w:r>
              <w:rPr>
                <w:rFonts w:hint="eastAsia"/>
                <w:color w:val="auto"/>
              </w:rPr>
              <w:t>指标</w:t>
            </w:r>
          </w:p>
        </w:tc>
        <w:tc>
          <w:tcPr>
            <w:tcW w:w="5484" w:type="dxa"/>
            <w:gridSpan w:val="5"/>
          </w:tcPr>
          <w:p w14:paraId="72503460">
            <w:pPr>
              <w:pStyle w:val="2"/>
              <w:spacing w:line="240" w:lineRule="auto"/>
              <w:jc w:val="center"/>
              <w:rPr>
                <w:color w:val="auto"/>
              </w:rPr>
            </w:pPr>
            <w:r>
              <w:rPr>
                <w:rFonts w:hint="eastAsia"/>
                <w:color w:val="auto"/>
              </w:rPr>
              <w:t>管网材料</w:t>
            </w:r>
          </w:p>
        </w:tc>
        <w:tc>
          <w:tcPr>
            <w:tcW w:w="2052" w:type="dxa"/>
            <w:gridSpan w:val="2"/>
          </w:tcPr>
          <w:p w14:paraId="7AD1C60C">
            <w:pPr>
              <w:pStyle w:val="2"/>
              <w:spacing w:line="240" w:lineRule="auto"/>
              <w:jc w:val="center"/>
              <w:rPr>
                <w:color w:val="auto"/>
              </w:rPr>
            </w:pPr>
            <w:r>
              <w:rPr>
                <w:rFonts w:hint="eastAsia"/>
                <w:color w:val="auto"/>
              </w:rPr>
              <w:t>设备类型</w:t>
            </w:r>
          </w:p>
        </w:tc>
      </w:tr>
      <w:tr w14:paraId="7331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gridSpan w:val="2"/>
            <w:vMerge w:val="continue"/>
          </w:tcPr>
          <w:p w14:paraId="19E168EE">
            <w:pPr>
              <w:pStyle w:val="2"/>
              <w:spacing w:line="240" w:lineRule="auto"/>
              <w:jc w:val="left"/>
              <w:rPr>
                <w:color w:val="auto"/>
              </w:rPr>
            </w:pPr>
          </w:p>
        </w:tc>
        <w:tc>
          <w:tcPr>
            <w:tcW w:w="993" w:type="dxa"/>
            <w:vAlign w:val="center"/>
          </w:tcPr>
          <w:p w14:paraId="601792BB">
            <w:pPr>
              <w:pStyle w:val="2"/>
              <w:spacing w:line="240" w:lineRule="auto"/>
              <w:jc w:val="center"/>
              <w:rPr>
                <w:color w:val="auto"/>
              </w:rPr>
            </w:pPr>
            <w:r>
              <w:rPr>
                <w:rFonts w:hint="eastAsia"/>
                <w:color w:val="auto"/>
              </w:rPr>
              <w:t>钢管及镀锌钢管</w:t>
            </w:r>
          </w:p>
        </w:tc>
        <w:tc>
          <w:tcPr>
            <w:tcW w:w="1559" w:type="dxa"/>
            <w:vAlign w:val="center"/>
          </w:tcPr>
          <w:p w14:paraId="286CFE40">
            <w:pPr>
              <w:pStyle w:val="2"/>
              <w:spacing w:line="240" w:lineRule="auto"/>
              <w:jc w:val="center"/>
              <w:rPr>
                <w:color w:val="auto"/>
              </w:rPr>
            </w:pPr>
            <w:r>
              <w:rPr>
                <w:rFonts w:hint="eastAsia"/>
                <w:color w:val="auto"/>
              </w:rPr>
              <w:t>水泥管、水泥砂浆内衬的金属管</w:t>
            </w:r>
          </w:p>
        </w:tc>
        <w:tc>
          <w:tcPr>
            <w:tcW w:w="709" w:type="dxa"/>
            <w:vAlign w:val="center"/>
          </w:tcPr>
          <w:p w14:paraId="25B85ABE">
            <w:pPr>
              <w:pStyle w:val="2"/>
              <w:spacing w:line="240" w:lineRule="auto"/>
              <w:jc w:val="center"/>
              <w:rPr>
                <w:color w:val="auto"/>
              </w:rPr>
            </w:pPr>
            <w:r>
              <w:rPr>
                <w:rFonts w:hint="eastAsia"/>
                <w:color w:val="auto"/>
              </w:rPr>
              <w:t>塑料管</w:t>
            </w:r>
          </w:p>
        </w:tc>
        <w:tc>
          <w:tcPr>
            <w:tcW w:w="1197" w:type="dxa"/>
            <w:vAlign w:val="center"/>
          </w:tcPr>
          <w:p w14:paraId="0B211D0A">
            <w:pPr>
              <w:pStyle w:val="2"/>
              <w:spacing w:line="240" w:lineRule="auto"/>
              <w:jc w:val="center"/>
              <w:rPr>
                <w:color w:val="auto"/>
              </w:rPr>
            </w:pPr>
            <w:r>
              <w:rPr>
                <w:rFonts w:hint="eastAsia"/>
                <w:color w:val="auto"/>
              </w:rPr>
              <w:t>铸铁管及球墨铸铁管</w:t>
            </w:r>
          </w:p>
        </w:tc>
        <w:tc>
          <w:tcPr>
            <w:tcW w:w="1026" w:type="dxa"/>
            <w:vAlign w:val="center"/>
          </w:tcPr>
          <w:p w14:paraId="45A280B7">
            <w:pPr>
              <w:pStyle w:val="2"/>
              <w:spacing w:line="240" w:lineRule="auto"/>
              <w:jc w:val="center"/>
              <w:rPr>
                <w:color w:val="auto"/>
              </w:rPr>
            </w:pPr>
            <w:r>
              <w:rPr>
                <w:rFonts w:hint="eastAsia"/>
                <w:color w:val="auto"/>
              </w:rPr>
              <w:t>有色金属管</w:t>
            </w:r>
          </w:p>
        </w:tc>
        <w:tc>
          <w:tcPr>
            <w:tcW w:w="1026" w:type="dxa"/>
            <w:vAlign w:val="center"/>
          </w:tcPr>
          <w:p w14:paraId="60D72598">
            <w:pPr>
              <w:pStyle w:val="2"/>
              <w:spacing w:line="240" w:lineRule="auto"/>
              <w:jc w:val="center"/>
              <w:rPr>
                <w:color w:val="auto"/>
              </w:rPr>
            </w:pPr>
            <w:r>
              <w:rPr>
                <w:rFonts w:hint="eastAsia"/>
                <w:color w:val="auto"/>
              </w:rPr>
              <w:t>锅炉</w:t>
            </w:r>
          </w:p>
        </w:tc>
        <w:tc>
          <w:tcPr>
            <w:tcW w:w="1026" w:type="dxa"/>
            <w:vAlign w:val="center"/>
          </w:tcPr>
          <w:p w14:paraId="7B3CCF4E">
            <w:pPr>
              <w:pStyle w:val="2"/>
              <w:spacing w:line="240" w:lineRule="auto"/>
              <w:jc w:val="center"/>
              <w:rPr>
                <w:color w:val="auto"/>
              </w:rPr>
            </w:pPr>
            <w:r>
              <w:rPr>
                <w:rFonts w:hint="eastAsia"/>
                <w:color w:val="auto"/>
              </w:rPr>
              <w:t>喷雾器</w:t>
            </w:r>
          </w:p>
        </w:tc>
      </w:tr>
      <w:tr w14:paraId="47D9A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2F44F3C7">
            <w:pPr>
              <w:pStyle w:val="2"/>
              <w:spacing w:line="240" w:lineRule="auto"/>
              <w:jc w:val="left"/>
              <w:rPr>
                <w:color w:val="auto"/>
              </w:rPr>
            </w:pPr>
            <w:r>
              <w:rPr>
                <w:rFonts w:hint="eastAsia"/>
                <w:color w:val="auto"/>
              </w:rPr>
              <w:t>单一指标</w:t>
            </w:r>
          </w:p>
        </w:tc>
        <w:tc>
          <w:tcPr>
            <w:tcW w:w="850" w:type="dxa"/>
          </w:tcPr>
          <w:p w14:paraId="26D2579E">
            <w:pPr>
              <w:pStyle w:val="2"/>
              <w:spacing w:line="240" w:lineRule="auto"/>
              <w:jc w:val="left"/>
              <w:rPr>
                <w:color w:val="auto"/>
              </w:rPr>
            </w:pPr>
            <w:r>
              <w:rPr>
                <w:rFonts w:hint="eastAsia"/>
                <w:color w:val="auto"/>
              </w:rPr>
              <w:t>p</w:t>
            </w:r>
            <w:r>
              <w:rPr>
                <w:color w:val="auto"/>
              </w:rPr>
              <w:t>H</w:t>
            </w:r>
          </w:p>
        </w:tc>
        <w:tc>
          <w:tcPr>
            <w:tcW w:w="993" w:type="dxa"/>
          </w:tcPr>
          <w:p w14:paraId="42AA97FE">
            <w:pPr>
              <w:pStyle w:val="2"/>
              <w:spacing w:line="240" w:lineRule="auto"/>
              <w:jc w:val="center"/>
              <w:rPr>
                <w:color w:val="auto"/>
              </w:rPr>
            </w:pPr>
            <w:r>
              <w:rPr>
                <w:rFonts w:hint="eastAsia" w:ascii="宋体" w:hAnsi="宋体"/>
                <w:color w:val="auto"/>
              </w:rPr>
              <w:t>●</w:t>
            </w:r>
          </w:p>
        </w:tc>
        <w:tc>
          <w:tcPr>
            <w:tcW w:w="1559" w:type="dxa"/>
          </w:tcPr>
          <w:p w14:paraId="265B4DA9">
            <w:pPr>
              <w:pStyle w:val="2"/>
              <w:spacing w:line="240" w:lineRule="auto"/>
              <w:jc w:val="center"/>
              <w:rPr>
                <w:color w:val="auto"/>
              </w:rPr>
            </w:pPr>
            <w:r>
              <w:rPr>
                <w:rFonts w:hint="eastAsia" w:ascii="宋体" w:hAnsi="宋体"/>
                <w:color w:val="auto"/>
              </w:rPr>
              <w:t>●</w:t>
            </w:r>
          </w:p>
        </w:tc>
        <w:tc>
          <w:tcPr>
            <w:tcW w:w="709" w:type="dxa"/>
          </w:tcPr>
          <w:p w14:paraId="2498DDE9">
            <w:pPr>
              <w:pStyle w:val="2"/>
              <w:spacing w:line="240" w:lineRule="auto"/>
              <w:jc w:val="center"/>
              <w:rPr>
                <w:color w:val="auto"/>
              </w:rPr>
            </w:pPr>
            <w:r>
              <w:rPr>
                <w:rFonts w:hint="eastAsia" w:ascii="宋体" w:hAnsi="宋体"/>
                <w:color w:val="auto"/>
              </w:rPr>
              <w:t>●</w:t>
            </w:r>
          </w:p>
        </w:tc>
        <w:tc>
          <w:tcPr>
            <w:tcW w:w="1197" w:type="dxa"/>
          </w:tcPr>
          <w:p w14:paraId="2AC32D7A">
            <w:pPr>
              <w:pStyle w:val="2"/>
              <w:spacing w:line="240" w:lineRule="auto"/>
              <w:jc w:val="center"/>
              <w:rPr>
                <w:color w:val="auto"/>
              </w:rPr>
            </w:pPr>
            <w:r>
              <w:rPr>
                <w:rFonts w:hint="eastAsia" w:ascii="宋体" w:hAnsi="宋体"/>
                <w:color w:val="auto"/>
              </w:rPr>
              <w:t>●</w:t>
            </w:r>
          </w:p>
        </w:tc>
        <w:tc>
          <w:tcPr>
            <w:tcW w:w="1026" w:type="dxa"/>
          </w:tcPr>
          <w:p w14:paraId="4D5C40F5">
            <w:pPr>
              <w:pStyle w:val="2"/>
              <w:spacing w:line="240" w:lineRule="auto"/>
              <w:jc w:val="center"/>
              <w:rPr>
                <w:color w:val="auto"/>
              </w:rPr>
            </w:pPr>
            <w:r>
              <w:rPr>
                <w:rFonts w:hint="eastAsia" w:ascii="宋体" w:hAnsi="宋体"/>
                <w:color w:val="auto"/>
              </w:rPr>
              <w:t>●</w:t>
            </w:r>
          </w:p>
        </w:tc>
        <w:tc>
          <w:tcPr>
            <w:tcW w:w="1026" w:type="dxa"/>
          </w:tcPr>
          <w:p w14:paraId="31BFABDC">
            <w:pPr>
              <w:pStyle w:val="2"/>
              <w:spacing w:line="240" w:lineRule="auto"/>
              <w:jc w:val="center"/>
              <w:rPr>
                <w:color w:val="auto"/>
              </w:rPr>
            </w:pPr>
            <w:r>
              <w:rPr>
                <w:rFonts w:hint="eastAsia" w:ascii="宋体" w:hAnsi="宋体"/>
                <w:color w:val="auto"/>
              </w:rPr>
              <w:t>●</w:t>
            </w:r>
          </w:p>
        </w:tc>
        <w:tc>
          <w:tcPr>
            <w:tcW w:w="1026" w:type="dxa"/>
          </w:tcPr>
          <w:p w14:paraId="61392EB0">
            <w:pPr>
              <w:pStyle w:val="2"/>
              <w:spacing w:line="240" w:lineRule="auto"/>
              <w:jc w:val="center"/>
              <w:rPr>
                <w:color w:val="auto"/>
              </w:rPr>
            </w:pPr>
            <w:r>
              <w:rPr>
                <w:rFonts w:hint="eastAsia" w:ascii="宋体" w:hAnsi="宋体"/>
                <w:color w:val="auto"/>
              </w:rPr>
              <w:t>●</w:t>
            </w:r>
          </w:p>
        </w:tc>
      </w:tr>
      <w:tr w14:paraId="27309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5DB03573">
            <w:pPr>
              <w:pStyle w:val="2"/>
              <w:spacing w:line="240" w:lineRule="auto"/>
              <w:jc w:val="left"/>
              <w:rPr>
                <w:color w:val="auto"/>
              </w:rPr>
            </w:pPr>
          </w:p>
        </w:tc>
        <w:tc>
          <w:tcPr>
            <w:tcW w:w="850" w:type="dxa"/>
          </w:tcPr>
          <w:p w14:paraId="0EC4911F">
            <w:pPr>
              <w:pStyle w:val="2"/>
              <w:spacing w:line="240" w:lineRule="auto"/>
              <w:jc w:val="left"/>
              <w:rPr>
                <w:color w:val="auto"/>
              </w:rPr>
            </w:pPr>
            <w:r>
              <w:rPr>
                <w:rFonts w:hint="eastAsia"/>
                <w:color w:val="auto"/>
              </w:rPr>
              <w:t>总硬度</w:t>
            </w:r>
          </w:p>
        </w:tc>
        <w:tc>
          <w:tcPr>
            <w:tcW w:w="993" w:type="dxa"/>
          </w:tcPr>
          <w:p w14:paraId="24575AAC">
            <w:pPr>
              <w:pStyle w:val="2"/>
              <w:spacing w:line="240" w:lineRule="auto"/>
              <w:jc w:val="center"/>
              <w:rPr>
                <w:color w:val="auto"/>
              </w:rPr>
            </w:pPr>
            <w:r>
              <w:rPr>
                <w:rFonts w:hint="eastAsia" w:ascii="宋体" w:hAnsi="宋体"/>
                <w:color w:val="auto"/>
              </w:rPr>
              <w:t>●</w:t>
            </w:r>
          </w:p>
        </w:tc>
        <w:tc>
          <w:tcPr>
            <w:tcW w:w="1559" w:type="dxa"/>
          </w:tcPr>
          <w:p w14:paraId="5773A90F">
            <w:pPr>
              <w:pStyle w:val="2"/>
              <w:spacing w:line="240" w:lineRule="auto"/>
              <w:jc w:val="center"/>
              <w:rPr>
                <w:color w:val="auto"/>
              </w:rPr>
            </w:pPr>
            <w:r>
              <w:rPr>
                <w:rFonts w:hint="eastAsia" w:ascii="宋体" w:hAnsi="宋体"/>
                <w:color w:val="auto"/>
              </w:rPr>
              <w:t>●</w:t>
            </w:r>
          </w:p>
        </w:tc>
        <w:tc>
          <w:tcPr>
            <w:tcW w:w="709" w:type="dxa"/>
          </w:tcPr>
          <w:p w14:paraId="7428580E">
            <w:pPr>
              <w:pStyle w:val="2"/>
              <w:spacing w:line="240" w:lineRule="auto"/>
              <w:jc w:val="center"/>
              <w:rPr>
                <w:color w:val="auto"/>
              </w:rPr>
            </w:pPr>
          </w:p>
        </w:tc>
        <w:tc>
          <w:tcPr>
            <w:tcW w:w="1197" w:type="dxa"/>
          </w:tcPr>
          <w:p w14:paraId="2A841529">
            <w:pPr>
              <w:pStyle w:val="2"/>
              <w:spacing w:line="240" w:lineRule="auto"/>
              <w:jc w:val="center"/>
              <w:rPr>
                <w:color w:val="auto"/>
              </w:rPr>
            </w:pPr>
            <w:r>
              <w:rPr>
                <w:rFonts w:hint="eastAsia" w:ascii="宋体" w:hAnsi="宋体"/>
                <w:color w:val="auto"/>
              </w:rPr>
              <w:t>●</w:t>
            </w:r>
          </w:p>
        </w:tc>
        <w:tc>
          <w:tcPr>
            <w:tcW w:w="1026" w:type="dxa"/>
          </w:tcPr>
          <w:p w14:paraId="627266FE">
            <w:pPr>
              <w:pStyle w:val="2"/>
              <w:spacing w:line="240" w:lineRule="auto"/>
              <w:jc w:val="center"/>
              <w:rPr>
                <w:color w:val="auto"/>
              </w:rPr>
            </w:pPr>
            <w:r>
              <w:rPr>
                <w:rFonts w:hint="eastAsia" w:ascii="宋体" w:hAnsi="宋体"/>
                <w:color w:val="auto"/>
              </w:rPr>
              <w:t>●</w:t>
            </w:r>
          </w:p>
        </w:tc>
        <w:tc>
          <w:tcPr>
            <w:tcW w:w="1026" w:type="dxa"/>
          </w:tcPr>
          <w:p w14:paraId="5220DECF">
            <w:pPr>
              <w:pStyle w:val="2"/>
              <w:spacing w:line="240" w:lineRule="auto"/>
              <w:jc w:val="center"/>
              <w:rPr>
                <w:color w:val="auto"/>
              </w:rPr>
            </w:pPr>
            <w:r>
              <w:rPr>
                <w:rFonts w:hint="eastAsia" w:ascii="宋体" w:hAnsi="宋体"/>
                <w:color w:val="auto"/>
              </w:rPr>
              <w:t>●</w:t>
            </w:r>
          </w:p>
        </w:tc>
        <w:tc>
          <w:tcPr>
            <w:tcW w:w="1026" w:type="dxa"/>
          </w:tcPr>
          <w:p w14:paraId="11F50B4C">
            <w:pPr>
              <w:pStyle w:val="2"/>
              <w:spacing w:line="240" w:lineRule="auto"/>
              <w:jc w:val="center"/>
              <w:rPr>
                <w:color w:val="auto"/>
              </w:rPr>
            </w:pPr>
            <w:r>
              <w:rPr>
                <w:rFonts w:hint="eastAsia" w:ascii="宋体" w:hAnsi="宋体"/>
                <w:color w:val="auto"/>
              </w:rPr>
              <w:t>●</w:t>
            </w:r>
          </w:p>
        </w:tc>
      </w:tr>
      <w:tr w14:paraId="6F668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19BAF22A">
            <w:pPr>
              <w:pStyle w:val="2"/>
              <w:spacing w:line="240" w:lineRule="auto"/>
              <w:jc w:val="left"/>
              <w:rPr>
                <w:color w:val="auto"/>
              </w:rPr>
            </w:pPr>
          </w:p>
        </w:tc>
        <w:tc>
          <w:tcPr>
            <w:tcW w:w="850" w:type="dxa"/>
          </w:tcPr>
          <w:p w14:paraId="3A1088BE">
            <w:pPr>
              <w:pStyle w:val="2"/>
              <w:spacing w:line="240" w:lineRule="auto"/>
              <w:jc w:val="left"/>
              <w:rPr>
                <w:color w:val="auto"/>
              </w:rPr>
            </w:pPr>
            <w:r>
              <w:rPr>
                <w:rFonts w:hint="eastAsia"/>
                <w:color w:val="auto"/>
              </w:rPr>
              <w:t>总碱度</w:t>
            </w:r>
          </w:p>
        </w:tc>
        <w:tc>
          <w:tcPr>
            <w:tcW w:w="993" w:type="dxa"/>
          </w:tcPr>
          <w:p w14:paraId="2F0F9667">
            <w:pPr>
              <w:pStyle w:val="2"/>
              <w:spacing w:line="240" w:lineRule="auto"/>
              <w:jc w:val="center"/>
              <w:rPr>
                <w:color w:val="auto"/>
              </w:rPr>
            </w:pPr>
            <w:r>
              <w:rPr>
                <w:rFonts w:hint="eastAsia" w:ascii="宋体" w:hAnsi="宋体"/>
                <w:color w:val="auto"/>
              </w:rPr>
              <w:t>●</w:t>
            </w:r>
          </w:p>
        </w:tc>
        <w:tc>
          <w:tcPr>
            <w:tcW w:w="1559" w:type="dxa"/>
          </w:tcPr>
          <w:p w14:paraId="6EACE9A5">
            <w:pPr>
              <w:pStyle w:val="2"/>
              <w:spacing w:line="240" w:lineRule="auto"/>
              <w:jc w:val="center"/>
              <w:rPr>
                <w:color w:val="auto"/>
              </w:rPr>
            </w:pPr>
            <w:r>
              <w:rPr>
                <w:rFonts w:hint="eastAsia" w:ascii="宋体" w:hAnsi="宋体"/>
                <w:color w:val="auto"/>
              </w:rPr>
              <w:t>●</w:t>
            </w:r>
          </w:p>
        </w:tc>
        <w:tc>
          <w:tcPr>
            <w:tcW w:w="709" w:type="dxa"/>
          </w:tcPr>
          <w:p w14:paraId="4B66ECB5">
            <w:pPr>
              <w:pStyle w:val="2"/>
              <w:spacing w:line="240" w:lineRule="auto"/>
              <w:jc w:val="center"/>
              <w:rPr>
                <w:color w:val="auto"/>
              </w:rPr>
            </w:pPr>
          </w:p>
        </w:tc>
        <w:tc>
          <w:tcPr>
            <w:tcW w:w="1197" w:type="dxa"/>
          </w:tcPr>
          <w:p w14:paraId="3BDD943B">
            <w:pPr>
              <w:pStyle w:val="2"/>
              <w:spacing w:line="240" w:lineRule="auto"/>
              <w:jc w:val="center"/>
              <w:rPr>
                <w:color w:val="auto"/>
              </w:rPr>
            </w:pPr>
            <w:r>
              <w:rPr>
                <w:rFonts w:hint="eastAsia" w:ascii="宋体" w:hAnsi="宋体"/>
                <w:color w:val="auto"/>
              </w:rPr>
              <w:t>●</w:t>
            </w:r>
          </w:p>
        </w:tc>
        <w:tc>
          <w:tcPr>
            <w:tcW w:w="1026" w:type="dxa"/>
          </w:tcPr>
          <w:p w14:paraId="016C9DAC">
            <w:pPr>
              <w:pStyle w:val="2"/>
              <w:spacing w:line="240" w:lineRule="auto"/>
              <w:jc w:val="center"/>
              <w:rPr>
                <w:color w:val="auto"/>
              </w:rPr>
            </w:pPr>
            <w:r>
              <w:rPr>
                <w:rFonts w:hint="eastAsia" w:ascii="宋体" w:hAnsi="宋体"/>
                <w:color w:val="auto"/>
              </w:rPr>
              <w:t>●</w:t>
            </w:r>
          </w:p>
        </w:tc>
        <w:tc>
          <w:tcPr>
            <w:tcW w:w="1026" w:type="dxa"/>
          </w:tcPr>
          <w:p w14:paraId="271F3F38">
            <w:pPr>
              <w:pStyle w:val="2"/>
              <w:spacing w:line="240" w:lineRule="auto"/>
              <w:jc w:val="center"/>
              <w:rPr>
                <w:color w:val="auto"/>
              </w:rPr>
            </w:pPr>
            <w:r>
              <w:rPr>
                <w:rFonts w:hint="eastAsia" w:ascii="宋体" w:hAnsi="宋体"/>
                <w:color w:val="auto"/>
              </w:rPr>
              <w:t>●</w:t>
            </w:r>
          </w:p>
        </w:tc>
        <w:tc>
          <w:tcPr>
            <w:tcW w:w="1026" w:type="dxa"/>
          </w:tcPr>
          <w:p w14:paraId="1F9AE5BD">
            <w:pPr>
              <w:pStyle w:val="2"/>
              <w:spacing w:line="240" w:lineRule="auto"/>
              <w:jc w:val="center"/>
              <w:rPr>
                <w:color w:val="auto"/>
              </w:rPr>
            </w:pPr>
            <w:r>
              <w:rPr>
                <w:rFonts w:hint="eastAsia" w:ascii="宋体" w:hAnsi="宋体"/>
                <w:color w:val="auto"/>
              </w:rPr>
              <w:t>●</w:t>
            </w:r>
          </w:p>
        </w:tc>
      </w:tr>
      <w:tr w14:paraId="7740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1252B7EE">
            <w:pPr>
              <w:pStyle w:val="2"/>
              <w:spacing w:line="240" w:lineRule="auto"/>
              <w:jc w:val="left"/>
              <w:rPr>
                <w:color w:val="auto"/>
              </w:rPr>
            </w:pPr>
          </w:p>
        </w:tc>
        <w:tc>
          <w:tcPr>
            <w:tcW w:w="850" w:type="dxa"/>
          </w:tcPr>
          <w:p w14:paraId="3C9FFC1E">
            <w:pPr>
              <w:pStyle w:val="2"/>
              <w:spacing w:line="240" w:lineRule="auto"/>
              <w:jc w:val="left"/>
              <w:rPr>
                <w:color w:val="auto"/>
              </w:rPr>
            </w:pPr>
            <w:r>
              <w:rPr>
                <w:rFonts w:hint="eastAsia"/>
                <w:color w:val="auto"/>
              </w:rPr>
              <w:t>T</w:t>
            </w:r>
            <w:r>
              <w:rPr>
                <w:color w:val="auto"/>
              </w:rPr>
              <w:t>DS</w:t>
            </w:r>
          </w:p>
        </w:tc>
        <w:tc>
          <w:tcPr>
            <w:tcW w:w="993" w:type="dxa"/>
          </w:tcPr>
          <w:p w14:paraId="6967EBA0">
            <w:pPr>
              <w:pStyle w:val="2"/>
              <w:spacing w:line="240" w:lineRule="auto"/>
              <w:jc w:val="center"/>
              <w:rPr>
                <w:color w:val="auto"/>
              </w:rPr>
            </w:pPr>
            <w:r>
              <w:rPr>
                <w:rFonts w:hint="eastAsia" w:ascii="宋体" w:hAnsi="宋体"/>
                <w:color w:val="auto"/>
              </w:rPr>
              <w:t>●</w:t>
            </w:r>
          </w:p>
        </w:tc>
        <w:tc>
          <w:tcPr>
            <w:tcW w:w="1559" w:type="dxa"/>
          </w:tcPr>
          <w:p w14:paraId="3C5A45A1">
            <w:pPr>
              <w:pStyle w:val="2"/>
              <w:spacing w:line="240" w:lineRule="auto"/>
              <w:jc w:val="center"/>
              <w:rPr>
                <w:color w:val="auto"/>
              </w:rPr>
            </w:pPr>
            <w:r>
              <w:rPr>
                <w:rFonts w:hint="eastAsia" w:ascii="宋体" w:hAnsi="宋体"/>
                <w:color w:val="auto"/>
              </w:rPr>
              <w:t>●</w:t>
            </w:r>
          </w:p>
        </w:tc>
        <w:tc>
          <w:tcPr>
            <w:tcW w:w="709" w:type="dxa"/>
          </w:tcPr>
          <w:p w14:paraId="640B939F">
            <w:pPr>
              <w:pStyle w:val="2"/>
              <w:spacing w:line="240" w:lineRule="auto"/>
              <w:jc w:val="center"/>
              <w:rPr>
                <w:color w:val="auto"/>
              </w:rPr>
            </w:pPr>
          </w:p>
        </w:tc>
        <w:tc>
          <w:tcPr>
            <w:tcW w:w="1197" w:type="dxa"/>
          </w:tcPr>
          <w:p w14:paraId="52869DF9">
            <w:pPr>
              <w:pStyle w:val="2"/>
              <w:spacing w:line="240" w:lineRule="auto"/>
              <w:jc w:val="center"/>
              <w:rPr>
                <w:color w:val="auto"/>
              </w:rPr>
            </w:pPr>
            <w:r>
              <w:rPr>
                <w:rFonts w:hint="eastAsia" w:ascii="宋体" w:hAnsi="宋体"/>
                <w:color w:val="auto"/>
              </w:rPr>
              <w:t>●</w:t>
            </w:r>
          </w:p>
        </w:tc>
        <w:tc>
          <w:tcPr>
            <w:tcW w:w="1026" w:type="dxa"/>
          </w:tcPr>
          <w:p w14:paraId="519880C0">
            <w:pPr>
              <w:pStyle w:val="2"/>
              <w:spacing w:line="240" w:lineRule="auto"/>
              <w:jc w:val="center"/>
              <w:rPr>
                <w:color w:val="auto"/>
              </w:rPr>
            </w:pPr>
            <w:r>
              <w:rPr>
                <w:rFonts w:hint="eastAsia" w:ascii="宋体" w:hAnsi="宋体"/>
                <w:color w:val="auto"/>
              </w:rPr>
              <w:t>●</w:t>
            </w:r>
          </w:p>
        </w:tc>
        <w:tc>
          <w:tcPr>
            <w:tcW w:w="1026" w:type="dxa"/>
          </w:tcPr>
          <w:p w14:paraId="59862BC4">
            <w:pPr>
              <w:pStyle w:val="2"/>
              <w:spacing w:line="240" w:lineRule="auto"/>
              <w:jc w:val="center"/>
              <w:rPr>
                <w:color w:val="auto"/>
              </w:rPr>
            </w:pPr>
            <w:r>
              <w:rPr>
                <w:rFonts w:hint="eastAsia" w:ascii="宋体" w:hAnsi="宋体"/>
                <w:color w:val="auto"/>
              </w:rPr>
              <w:t>●</w:t>
            </w:r>
          </w:p>
        </w:tc>
        <w:tc>
          <w:tcPr>
            <w:tcW w:w="1026" w:type="dxa"/>
          </w:tcPr>
          <w:p w14:paraId="1303ED3D">
            <w:pPr>
              <w:pStyle w:val="2"/>
              <w:spacing w:line="240" w:lineRule="auto"/>
              <w:jc w:val="center"/>
              <w:rPr>
                <w:color w:val="auto"/>
              </w:rPr>
            </w:pPr>
            <w:r>
              <w:rPr>
                <w:rFonts w:hint="eastAsia" w:ascii="宋体" w:hAnsi="宋体"/>
                <w:color w:val="auto"/>
              </w:rPr>
              <w:t>●</w:t>
            </w:r>
          </w:p>
        </w:tc>
      </w:tr>
      <w:tr w14:paraId="64310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179ABA58">
            <w:pPr>
              <w:pStyle w:val="2"/>
              <w:spacing w:line="240" w:lineRule="auto"/>
              <w:jc w:val="left"/>
              <w:rPr>
                <w:color w:val="auto"/>
              </w:rPr>
            </w:pPr>
          </w:p>
        </w:tc>
        <w:tc>
          <w:tcPr>
            <w:tcW w:w="850" w:type="dxa"/>
          </w:tcPr>
          <w:p w14:paraId="76C866AE">
            <w:pPr>
              <w:pStyle w:val="2"/>
              <w:spacing w:line="240" w:lineRule="auto"/>
              <w:jc w:val="left"/>
              <w:rPr>
                <w:color w:val="auto"/>
              </w:rPr>
            </w:pPr>
            <w:r>
              <w:rPr>
                <w:rFonts w:hint="eastAsia"/>
                <w:color w:val="auto"/>
              </w:rPr>
              <w:t>浊度</w:t>
            </w:r>
          </w:p>
        </w:tc>
        <w:tc>
          <w:tcPr>
            <w:tcW w:w="993" w:type="dxa"/>
          </w:tcPr>
          <w:p w14:paraId="21E44D6E">
            <w:pPr>
              <w:pStyle w:val="2"/>
              <w:spacing w:line="240" w:lineRule="auto"/>
              <w:jc w:val="center"/>
              <w:rPr>
                <w:color w:val="auto"/>
              </w:rPr>
            </w:pPr>
            <w:r>
              <w:rPr>
                <w:rFonts w:hint="eastAsia" w:ascii="宋体" w:hAnsi="宋体"/>
                <w:color w:val="auto"/>
              </w:rPr>
              <w:t>●</w:t>
            </w:r>
          </w:p>
        </w:tc>
        <w:tc>
          <w:tcPr>
            <w:tcW w:w="1559" w:type="dxa"/>
          </w:tcPr>
          <w:p w14:paraId="10865256">
            <w:pPr>
              <w:pStyle w:val="2"/>
              <w:spacing w:line="240" w:lineRule="auto"/>
              <w:jc w:val="center"/>
              <w:rPr>
                <w:color w:val="auto"/>
              </w:rPr>
            </w:pPr>
            <w:r>
              <w:rPr>
                <w:rFonts w:hint="eastAsia" w:ascii="宋体" w:hAnsi="宋体"/>
                <w:color w:val="auto"/>
              </w:rPr>
              <w:t>●</w:t>
            </w:r>
          </w:p>
        </w:tc>
        <w:tc>
          <w:tcPr>
            <w:tcW w:w="709" w:type="dxa"/>
          </w:tcPr>
          <w:p w14:paraId="31865250">
            <w:pPr>
              <w:pStyle w:val="2"/>
              <w:spacing w:line="240" w:lineRule="auto"/>
              <w:jc w:val="center"/>
              <w:rPr>
                <w:color w:val="auto"/>
              </w:rPr>
            </w:pPr>
            <w:r>
              <w:rPr>
                <w:rFonts w:hint="eastAsia" w:ascii="宋体" w:hAnsi="宋体"/>
                <w:color w:val="auto"/>
              </w:rPr>
              <w:t>●</w:t>
            </w:r>
          </w:p>
        </w:tc>
        <w:tc>
          <w:tcPr>
            <w:tcW w:w="1197" w:type="dxa"/>
          </w:tcPr>
          <w:p w14:paraId="70CE686A">
            <w:pPr>
              <w:pStyle w:val="2"/>
              <w:spacing w:line="240" w:lineRule="auto"/>
              <w:jc w:val="center"/>
              <w:rPr>
                <w:color w:val="auto"/>
              </w:rPr>
            </w:pPr>
            <w:r>
              <w:rPr>
                <w:rFonts w:hint="eastAsia" w:ascii="宋体" w:hAnsi="宋体"/>
                <w:color w:val="auto"/>
              </w:rPr>
              <w:t>●</w:t>
            </w:r>
          </w:p>
        </w:tc>
        <w:tc>
          <w:tcPr>
            <w:tcW w:w="1026" w:type="dxa"/>
          </w:tcPr>
          <w:p w14:paraId="4CDC8DEA">
            <w:pPr>
              <w:pStyle w:val="2"/>
              <w:spacing w:line="240" w:lineRule="auto"/>
              <w:jc w:val="center"/>
              <w:rPr>
                <w:color w:val="auto"/>
              </w:rPr>
            </w:pPr>
            <w:r>
              <w:rPr>
                <w:rFonts w:hint="eastAsia" w:ascii="宋体" w:hAnsi="宋体"/>
                <w:color w:val="auto"/>
              </w:rPr>
              <w:t>●</w:t>
            </w:r>
          </w:p>
        </w:tc>
        <w:tc>
          <w:tcPr>
            <w:tcW w:w="1026" w:type="dxa"/>
          </w:tcPr>
          <w:p w14:paraId="75FB5C51">
            <w:pPr>
              <w:pStyle w:val="2"/>
              <w:spacing w:line="240" w:lineRule="auto"/>
              <w:jc w:val="center"/>
              <w:rPr>
                <w:color w:val="auto"/>
              </w:rPr>
            </w:pPr>
            <w:r>
              <w:rPr>
                <w:rFonts w:hint="eastAsia" w:ascii="宋体" w:hAnsi="宋体"/>
                <w:color w:val="auto"/>
              </w:rPr>
              <w:t>●</w:t>
            </w:r>
          </w:p>
        </w:tc>
        <w:tc>
          <w:tcPr>
            <w:tcW w:w="1026" w:type="dxa"/>
          </w:tcPr>
          <w:p w14:paraId="4ADFEEB6">
            <w:pPr>
              <w:pStyle w:val="2"/>
              <w:spacing w:line="240" w:lineRule="auto"/>
              <w:jc w:val="center"/>
              <w:rPr>
                <w:color w:val="auto"/>
              </w:rPr>
            </w:pPr>
            <w:r>
              <w:rPr>
                <w:rFonts w:hint="eastAsia" w:ascii="宋体" w:hAnsi="宋体"/>
                <w:color w:val="auto"/>
              </w:rPr>
              <w:t>●</w:t>
            </w:r>
          </w:p>
        </w:tc>
      </w:tr>
      <w:tr w14:paraId="53AE9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7460A8D6">
            <w:pPr>
              <w:pStyle w:val="2"/>
              <w:spacing w:line="240" w:lineRule="auto"/>
              <w:jc w:val="left"/>
              <w:rPr>
                <w:color w:val="auto"/>
              </w:rPr>
            </w:pPr>
            <w:r>
              <w:rPr>
                <w:rFonts w:hint="eastAsia"/>
                <w:color w:val="auto"/>
              </w:rPr>
              <w:t>综合指标</w:t>
            </w:r>
          </w:p>
        </w:tc>
        <w:tc>
          <w:tcPr>
            <w:tcW w:w="850" w:type="dxa"/>
          </w:tcPr>
          <w:p w14:paraId="4F947506">
            <w:pPr>
              <w:pStyle w:val="2"/>
              <w:spacing w:line="240" w:lineRule="auto"/>
              <w:jc w:val="left"/>
              <w:rPr>
                <w:color w:val="auto"/>
              </w:rPr>
            </w:pPr>
            <w:r>
              <w:rPr>
                <w:rFonts w:hint="eastAsia"/>
                <w:color w:val="auto"/>
              </w:rPr>
              <w:t>L</w:t>
            </w:r>
            <w:r>
              <w:rPr>
                <w:color w:val="auto"/>
              </w:rPr>
              <w:t>SI</w:t>
            </w:r>
          </w:p>
        </w:tc>
        <w:tc>
          <w:tcPr>
            <w:tcW w:w="993" w:type="dxa"/>
          </w:tcPr>
          <w:p w14:paraId="541F2A9A">
            <w:pPr>
              <w:pStyle w:val="2"/>
              <w:spacing w:line="240" w:lineRule="auto"/>
              <w:jc w:val="center"/>
              <w:rPr>
                <w:color w:val="auto"/>
              </w:rPr>
            </w:pPr>
          </w:p>
        </w:tc>
        <w:tc>
          <w:tcPr>
            <w:tcW w:w="1559" w:type="dxa"/>
          </w:tcPr>
          <w:p w14:paraId="17F118A0">
            <w:pPr>
              <w:pStyle w:val="2"/>
              <w:spacing w:line="240" w:lineRule="auto"/>
              <w:jc w:val="center"/>
              <w:rPr>
                <w:color w:val="auto"/>
              </w:rPr>
            </w:pPr>
          </w:p>
        </w:tc>
        <w:tc>
          <w:tcPr>
            <w:tcW w:w="709" w:type="dxa"/>
          </w:tcPr>
          <w:p w14:paraId="464356AF">
            <w:pPr>
              <w:pStyle w:val="2"/>
              <w:spacing w:line="240" w:lineRule="auto"/>
              <w:jc w:val="center"/>
              <w:rPr>
                <w:color w:val="auto"/>
              </w:rPr>
            </w:pPr>
          </w:p>
        </w:tc>
        <w:tc>
          <w:tcPr>
            <w:tcW w:w="1197" w:type="dxa"/>
          </w:tcPr>
          <w:p w14:paraId="4B0AC318">
            <w:pPr>
              <w:pStyle w:val="2"/>
              <w:spacing w:line="240" w:lineRule="auto"/>
              <w:jc w:val="center"/>
              <w:rPr>
                <w:color w:val="auto"/>
              </w:rPr>
            </w:pPr>
            <w:r>
              <w:rPr>
                <w:rFonts w:hint="eastAsia" w:ascii="宋体" w:hAnsi="宋体"/>
                <w:color w:val="auto"/>
              </w:rPr>
              <w:t>●</w:t>
            </w:r>
          </w:p>
        </w:tc>
        <w:tc>
          <w:tcPr>
            <w:tcW w:w="1026" w:type="dxa"/>
          </w:tcPr>
          <w:p w14:paraId="24D09EDB">
            <w:pPr>
              <w:pStyle w:val="2"/>
              <w:spacing w:line="240" w:lineRule="auto"/>
              <w:jc w:val="center"/>
              <w:rPr>
                <w:color w:val="auto"/>
              </w:rPr>
            </w:pPr>
          </w:p>
        </w:tc>
        <w:tc>
          <w:tcPr>
            <w:tcW w:w="1026" w:type="dxa"/>
          </w:tcPr>
          <w:p w14:paraId="7CED58B6">
            <w:pPr>
              <w:pStyle w:val="2"/>
              <w:spacing w:line="240" w:lineRule="auto"/>
              <w:jc w:val="center"/>
              <w:rPr>
                <w:color w:val="auto"/>
              </w:rPr>
            </w:pPr>
          </w:p>
        </w:tc>
        <w:tc>
          <w:tcPr>
            <w:tcW w:w="1026" w:type="dxa"/>
          </w:tcPr>
          <w:p w14:paraId="7F2DC60F">
            <w:pPr>
              <w:pStyle w:val="2"/>
              <w:spacing w:line="240" w:lineRule="auto"/>
              <w:jc w:val="center"/>
              <w:rPr>
                <w:color w:val="auto"/>
              </w:rPr>
            </w:pPr>
            <w:r>
              <w:rPr>
                <w:rFonts w:hint="eastAsia" w:ascii="宋体" w:hAnsi="宋体"/>
                <w:color w:val="auto"/>
              </w:rPr>
              <w:t>●</w:t>
            </w:r>
          </w:p>
        </w:tc>
      </w:tr>
      <w:tr w14:paraId="742A1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7201C031">
            <w:pPr>
              <w:pStyle w:val="2"/>
              <w:spacing w:line="240" w:lineRule="auto"/>
              <w:jc w:val="left"/>
              <w:rPr>
                <w:color w:val="auto"/>
              </w:rPr>
            </w:pPr>
          </w:p>
        </w:tc>
        <w:tc>
          <w:tcPr>
            <w:tcW w:w="850" w:type="dxa"/>
          </w:tcPr>
          <w:p w14:paraId="0DD146C6">
            <w:pPr>
              <w:pStyle w:val="2"/>
              <w:spacing w:line="240" w:lineRule="auto"/>
              <w:jc w:val="left"/>
              <w:rPr>
                <w:color w:val="auto"/>
              </w:rPr>
            </w:pPr>
            <w:r>
              <w:rPr>
                <w:rFonts w:hint="eastAsia"/>
                <w:color w:val="auto"/>
              </w:rPr>
              <w:t>R</w:t>
            </w:r>
            <w:r>
              <w:rPr>
                <w:color w:val="auto"/>
              </w:rPr>
              <w:t>SI</w:t>
            </w:r>
          </w:p>
        </w:tc>
        <w:tc>
          <w:tcPr>
            <w:tcW w:w="993" w:type="dxa"/>
          </w:tcPr>
          <w:p w14:paraId="5C92519A">
            <w:pPr>
              <w:pStyle w:val="2"/>
              <w:spacing w:line="240" w:lineRule="auto"/>
              <w:jc w:val="center"/>
              <w:rPr>
                <w:color w:val="auto"/>
              </w:rPr>
            </w:pPr>
            <w:r>
              <w:rPr>
                <w:rFonts w:hint="eastAsia" w:ascii="宋体" w:hAnsi="宋体"/>
                <w:color w:val="auto"/>
              </w:rPr>
              <w:t>●</w:t>
            </w:r>
          </w:p>
        </w:tc>
        <w:tc>
          <w:tcPr>
            <w:tcW w:w="1559" w:type="dxa"/>
          </w:tcPr>
          <w:p w14:paraId="1CA1280A">
            <w:pPr>
              <w:pStyle w:val="2"/>
              <w:spacing w:line="240" w:lineRule="auto"/>
              <w:jc w:val="center"/>
              <w:rPr>
                <w:color w:val="auto"/>
              </w:rPr>
            </w:pPr>
          </w:p>
        </w:tc>
        <w:tc>
          <w:tcPr>
            <w:tcW w:w="709" w:type="dxa"/>
          </w:tcPr>
          <w:p w14:paraId="160C8B77">
            <w:pPr>
              <w:pStyle w:val="2"/>
              <w:spacing w:line="240" w:lineRule="auto"/>
              <w:jc w:val="center"/>
              <w:rPr>
                <w:color w:val="auto"/>
              </w:rPr>
            </w:pPr>
          </w:p>
        </w:tc>
        <w:tc>
          <w:tcPr>
            <w:tcW w:w="1197" w:type="dxa"/>
          </w:tcPr>
          <w:p w14:paraId="3CC97D7E">
            <w:pPr>
              <w:pStyle w:val="2"/>
              <w:spacing w:line="240" w:lineRule="auto"/>
              <w:jc w:val="center"/>
              <w:rPr>
                <w:color w:val="auto"/>
              </w:rPr>
            </w:pPr>
          </w:p>
        </w:tc>
        <w:tc>
          <w:tcPr>
            <w:tcW w:w="1026" w:type="dxa"/>
          </w:tcPr>
          <w:p w14:paraId="265A4041">
            <w:pPr>
              <w:pStyle w:val="2"/>
              <w:spacing w:line="240" w:lineRule="auto"/>
              <w:jc w:val="center"/>
              <w:rPr>
                <w:color w:val="auto"/>
              </w:rPr>
            </w:pPr>
          </w:p>
        </w:tc>
        <w:tc>
          <w:tcPr>
            <w:tcW w:w="1026" w:type="dxa"/>
          </w:tcPr>
          <w:p w14:paraId="301205A4">
            <w:pPr>
              <w:pStyle w:val="2"/>
              <w:spacing w:line="240" w:lineRule="auto"/>
              <w:jc w:val="center"/>
              <w:rPr>
                <w:color w:val="auto"/>
              </w:rPr>
            </w:pPr>
            <w:r>
              <w:rPr>
                <w:rFonts w:hint="eastAsia" w:ascii="宋体" w:hAnsi="宋体"/>
                <w:color w:val="auto"/>
              </w:rPr>
              <w:t>●</w:t>
            </w:r>
          </w:p>
        </w:tc>
        <w:tc>
          <w:tcPr>
            <w:tcW w:w="1026" w:type="dxa"/>
          </w:tcPr>
          <w:p w14:paraId="2A2B5767">
            <w:pPr>
              <w:pStyle w:val="2"/>
              <w:spacing w:line="240" w:lineRule="auto"/>
              <w:jc w:val="center"/>
              <w:rPr>
                <w:color w:val="auto"/>
              </w:rPr>
            </w:pPr>
          </w:p>
        </w:tc>
      </w:tr>
      <w:tr w14:paraId="6600C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6A97BF6C">
            <w:pPr>
              <w:pStyle w:val="2"/>
              <w:spacing w:line="240" w:lineRule="auto"/>
              <w:jc w:val="left"/>
              <w:rPr>
                <w:color w:val="auto"/>
              </w:rPr>
            </w:pPr>
          </w:p>
        </w:tc>
        <w:tc>
          <w:tcPr>
            <w:tcW w:w="850" w:type="dxa"/>
          </w:tcPr>
          <w:p w14:paraId="6971CEFD">
            <w:pPr>
              <w:pStyle w:val="2"/>
              <w:spacing w:line="240" w:lineRule="auto"/>
              <w:jc w:val="left"/>
              <w:rPr>
                <w:color w:val="auto"/>
              </w:rPr>
            </w:pPr>
            <w:r>
              <w:rPr>
                <w:rFonts w:hint="eastAsia"/>
                <w:color w:val="auto"/>
              </w:rPr>
              <w:t>C</w:t>
            </w:r>
            <w:r>
              <w:rPr>
                <w:color w:val="auto"/>
              </w:rPr>
              <w:t>CPP</w:t>
            </w:r>
          </w:p>
        </w:tc>
        <w:tc>
          <w:tcPr>
            <w:tcW w:w="993" w:type="dxa"/>
          </w:tcPr>
          <w:p w14:paraId="1FA39C11">
            <w:pPr>
              <w:pStyle w:val="2"/>
              <w:spacing w:line="240" w:lineRule="auto"/>
              <w:jc w:val="center"/>
              <w:rPr>
                <w:color w:val="auto"/>
              </w:rPr>
            </w:pPr>
          </w:p>
        </w:tc>
        <w:tc>
          <w:tcPr>
            <w:tcW w:w="1559" w:type="dxa"/>
          </w:tcPr>
          <w:p w14:paraId="29BFD024">
            <w:pPr>
              <w:pStyle w:val="2"/>
              <w:spacing w:line="240" w:lineRule="auto"/>
              <w:jc w:val="center"/>
              <w:rPr>
                <w:color w:val="auto"/>
              </w:rPr>
            </w:pPr>
          </w:p>
        </w:tc>
        <w:tc>
          <w:tcPr>
            <w:tcW w:w="709" w:type="dxa"/>
          </w:tcPr>
          <w:p w14:paraId="2E610303">
            <w:pPr>
              <w:pStyle w:val="2"/>
              <w:spacing w:line="240" w:lineRule="auto"/>
              <w:jc w:val="center"/>
              <w:rPr>
                <w:color w:val="auto"/>
              </w:rPr>
            </w:pPr>
            <w:r>
              <w:rPr>
                <w:rFonts w:hint="eastAsia" w:ascii="宋体" w:hAnsi="宋体"/>
                <w:color w:val="auto"/>
              </w:rPr>
              <w:t>●</w:t>
            </w:r>
          </w:p>
        </w:tc>
        <w:tc>
          <w:tcPr>
            <w:tcW w:w="1197" w:type="dxa"/>
          </w:tcPr>
          <w:p w14:paraId="2129DCC4">
            <w:pPr>
              <w:pStyle w:val="2"/>
              <w:spacing w:line="240" w:lineRule="auto"/>
              <w:jc w:val="center"/>
              <w:rPr>
                <w:color w:val="auto"/>
              </w:rPr>
            </w:pPr>
          </w:p>
        </w:tc>
        <w:tc>
          <w:tcPr>
            <w:tcW w:w="1026" w:type="dxa"/>
          </w:tcPr>
          <w:p w14:paraId="38CF6373">
            <w:pPr>
              <w:pStyle w:val="2"/>
              <w:spacing w:line="240" w:lineRule="auto"/>
              <w:jc w:val="center"/>
              <w:rPr>
                <w:color w:val="auto"/>
              </w:rPr>
            </w:pPr>
            <w:r>
              <w:rPr>
                <w:rFonts w:hint="eastAsia" w:ascii="宋体" w:hAnsi="宋体"/>
                <w:color w:val="auto"/>
              </w:rPr>
              <w:t>●</w:t>
            </w:r>
          </w:p>
        </w:tc>
        <w:tc>
          <w:tcPr>
            <w:tcW w:w="1026" w:type="dxa"/>
          </w:tcPr>
          <w:p w14:paraId="06000720">
            <w:pPr>
              <w:pStyle w:val="2"/>
              <w:spacing w:line="240" w:lineRule="auto"/>
              <w:jc w:val="center"/>
              <w:rPr>
                <w:color w:val="auto"/>
              </w:rPr>
            </w:pPr>
          </w:p>
        </w:tc>
        <w:tc>
          <w:tcPr>
            <w:tcW w:w="1026" w:type="dxa"/>
          </w:tcPr>
          <w:p w14:paraId="1433D43B">
            <w:pPr>
              <w:pStyle w:val="2"/>
              <w:spacing w:line="240" w:lineRule="auto"/>
              <w:jc w:val="center"/>
              <w:rPr>
                <w:color w:val="auto"/>
              </w:rPr>
            </w:pPr>
          </w:p>
        </w:tc>
      </w:tr>
      <w:tr w14:paraId="3327F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0E6C0E42">
            <w:pPr>
              <w:pStyle w:val="2"/>
              <w:spacing w:line="240" w:lineRule="auto"/>
              <w:jc w:val="left"/>
              <w:rPr>
                <w:color w:val="auto"/>
              </w:rPr>
            </w:pPr>
          </w:p>
        </w:tc>
        <w:tc>
          <w:tcPr>
            <w:tcW w:w="850" w:type="dxa"/>
          </w:tcPr>
          <w:p w14:paraId="22630E56">
            <w:pPr>
              <w:pStyle w:val="2"/>
              <w:spacing w:line="240" w:lineRule="auto"/>
              <w:jc w:val="left"/>
              <w:rPr>
                <w:color w:val="auto"/>
              </w:rPr>
            </w:pPr>
            <w:r>
              <w:rPr>
                <w:rFonts w:hint="eastAsia"/>
                <w:color w:val="auto"/>
              </w:rPr>
              <w:t>A</w:t>
            </w:r>
            <w:r>
              <w:rPr>
                <w:color w:val="auto"/>
              </w:rPr>
              <w:t>I</w:t>
            </w:r>
          </w:p>
        </w:tc>
        <w:tc>
          <w:tcPr>
            <w:tcW w:w="993" w:type="dxa"/>
          </w:tcPr>
          <w:p w14:paraId="44A58EFA">
            <w:pPr>
              <w:pStyle w:val="2"/>
              <w:spacing w:line="240" w:lineRule="auto"/>
              <w:jc w:val="center"/>
              <w:rPr>
                <w:color w:val="auto"/>
              </w:rPr>
            </w:pPr>
          </w:p>
        </w:tc>
        <w:tc>
          <w:tcPr>
            <w:tcW w:w="1559" w:type="dxa"/>
          </w:tcPr>
          <w:p w14:paraId="05033673">
            <w:pPr>
              <w:pStyle w:val="2"/>
              <w:spacing w:line="240" w:lineRule="auto"/>
              <w:jc w:val="center"/>
              <w:rPr>
                <w:color w:val="auto"/>
              </w:rPr>
            </w:pPr>
            <w:r>
              <w:rPr>
                <w:rFonts w:hint="eastAsia" w:ascii="宋体" w:hAnsi="宋体"/>
                <w:color w:val="auto"/>
              </w:rPr>
              <w:t>●</w:t>
            </w:r>
          </w:p>
        </w:tc>
        <w:tc>
          <w:tcPr>
            <w:tcW w:w="709" w:type="dxa"/>
          </w:tcPr>
          <w:p w14:paraId="7145F162">
            <w:pPr>
              <w:pStyle w:val="2"/>
              <w:spacing w:line="240" w:lineRule="auto"/>
              <w:jc w:val="center"/>
              <w:rPr>
                <w:color w:val="auto"/>
              </w:rPr>
            </w:pPr>
          </w:p>
        </w:tc>
        <w:tc>
          <w:tcPr>
            <w:tcW w:w="1197" w:type="dxa"/>
          </w:tcPr>
          <w:p w14:paraId="0776742C">
            <w:pPr>
              <w:pStyle w:val="2"/>
              <w:spacing w:line="240" w:lineRule="auto"/>
              <w:jc w:val="center"/>
              <w:rPr>
                <w:color w:val="auto"/>
              </w:rPr>
            </w:pPr>
          </w:p>
        </w:tc>
        <w:tc>
          <w:tcPr>
            <w:tcW w:w="1026" w:type="dxa"/>
          </w:tcPr>
          <w:p w14:paraId="1D7C03B8">
            <w:pPr>
              <w:pStyle w:val="2"/>
              <w:spacing w:line="240" w:lineRule="auto"/>
              <w:jc w:val="center"/>
              <w:rPr>
                <w:color w:val="auto"/>
              </w:rPr>
            </w:pPr>
          </w:p>
        </w:tc>
        <w:tc>
          <w:tcPr>
            <w:tcW w:w="1026" w:type="dxa"/>
          </w:tcPr>
          <w:p w14:paraId="71E49C70">
            <w:pPr>
              <w:pStyle w:val="2"/>
              <w:spacing w:line="240" w:lineRule="auto"/>
              <w:jc w:val="center"/>
              <w:rPr>
                <w:color w:val="auto"/>
              </w:rPr>
            </w:pPr>
          </w:p>
        </w:tc>
        <w:tc>
          <w:tcPr>
            <w:tcW w:w="1026" w:type="dxa"/>
          </w:tcPr>
          <w:p w14:paraId="4566D593">
            <w:pPr>
              <w:pStyle w:val="2"/>
              <w:spacing w:line="240" w:lineRule="auto"/>
              <w:jc w:val="center"/>
              <w:rPr>
                <w:color w:val="auto"/>
              </w:rPr>
            </w:pPr>
          </w:p>
        </w:tc>
      </w:tr>
      <w:tr w14:paraId="5610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201581FE">
            <w:pPr>
              <w:pStyle w:val="2"/>
              <w:spacing w:line="240" w:lineRule="auto"/>
              <w:jc w:val="left"/>
              <w:rPr>
                <w:color w:val="auto"/>
              </w:rPr>
            </w:pPr>
          </w:p>
        </w:tc>
        <w:tc>
          <w:tcPr>
            <w:tcW w:w="850" w:type="dxa"/>
          </w:tcPr>
          <w:p w14:paraId="72FDAC10">
            <w:pPr>
              <w:pStyle w:val="2"/>
              <w:spacing w:line="240" w:lineRule="auto"/>
              <w:jc w:val="left"/>
              <w:rPr>
                <w:color w:val="auto"/>
              </w:rPr>
            </w:pPr>
            <w:r>
              <w:rPr>
                <w:rFonts w:hint="eastAsia"/>
                <w:color w:val="auto"/>
              </w:rPr>
              <w:t>L</w:t>
            </w:r>
            <w:r>
              <w:rPr>
                <w:color w:val="auto"/>
              </w:rPr>
              <w:t>R</w:t>
            </w:r>
          </w:p>
        </w:tc>
        <w:tc>
          <w:tcPr>
            <w:tcW w:w="993" w:type="dxa"/>
          </w:tcPr>
          <w:p w14:paraId="4F43E277">
            <w:pPr>
              <w:pStyle w:val="2"/>
              <w:spacing w:line="240" w:lineRule="auto"/>
              <w:jc w:val="center"/>
              <w:rPr>
                <w:color w:val="auto"/>
              </w:rPr>
            </w:pPr>
          </w:p>
        </w:tc>
        <w:tc>
          <w:tcPr>
            <w:tcW w:w="1559" w:type="dxa"/>
          </w:tcPr>
          <w:p w14:paraId="029DB284">
            <w:pPr>
              <w:pStyle w:val="2"/>
              <w:spacing w:line="240" w:lineRule="auto"/>
              <w:jc w:val="center"/>
              <w:rPr>
                <w:color w:val="auto"/>
              </w:rPr>
            </w:pPr>
          </w:p>
        </w:tc>
        <w:tc>
          <w:tcPr>
            <w:tcW w:w="709" w:type="dxa"/>
          </w:tcPr>
          <w:p w14:paraId="7318BAA2">
            <w:pPr>
              <w:pStyle w:val="2"/>
              <w:spacing w:line="240" w:lineRule="auto"/>
              <w:jc w:val="center"/>
              <w:rPr>
                <w:color w:val="auto"/>
              </w:rPr>
            </w:pPr>
          </w:p>
        </w:tc>
        <w:tc>
          <w:tcPr>
            <w:tcW w:w="1197" w:type="dxa"/>
          </w:tcPr>
          <w:p w14:paraId="456D2CD2">
            <w:pPr>
              <w:pStyle w:val="2"/>
              <w:spacing w:line="240" w:lineRule="auto"/>
              <w:jc w:val="center"/>
              <w:rPr>
                <w:color w:val="auto"/>
              </w:rPr>
            </w:pPr>
            <w:r>
              <w:rPr>
                <w:rFonts w:hint="eastAsia" w:ascii="宋体" w:hAnsi="宋体"/>
                <w:color w:val="auto"/>
              </w:rPr>
              <w:t>●</w:t>
            </w:r>
          </w:p>
        </w:tc>
        <w:tc>
          <w:tcPr>
            <w:tcW w:w="1026" w:type="dxa"/>
          </w:tcPr>
          <w:p w14:paraId="2BFCF5DC">
            <w:pPr>
              <w:pStyle w:val="2"/>
              <w:spacing w:line="240" w:lineRule="auto"/>
              <w:jc w:val="center"/>
              <w:rPr>
                <w:color w:val="auto"/>
              </w:rPr>
            </w:pPr>
          </w:p>
        </w:tc>
        <w:tc>
          <w:tcPr>
            <w:tcW w:w="1026" w:type="dxa"/>
          </w:tcPr>
          <w:p w14:paraId="20F3BA32">
            <w:pPr>
              <w:pStyle w:val="2"/>
              <w:spacing w:line="240" w:lineRule="auto"/>
              <w:jc w:val="center"/>
              <w:rPr>
                <w:color w:val="auto"/>
              </w:rPr>
            </w:pPr>
            <w:r>
              <w:rPr>
                <w:rFonts w:hint="eastAsia" w:ascii="宋体" w:hAnsi="宋体"/>
                <w:color w:val="auto"/>
              </w:rPr>
              <w:t>●</w:t>
            </w:r>
          </w:p>
        </w:tc>
        <w:tc>
          <w:tcPr>
            <w:tcW w:w="1026" w:type="dxa"/>
          </w:tcPr>
          <w:p w14:paraId="7527B595">
            <w:pPr>
              <w:pStyle w:val="2"/>
              <w:spacing w:line="240" w:lineRule="auto"/>
              <w:jc w:val="center"/>
              <w:rPr>
                <w:color w:val="auto"/>
              </w:rPr>
            </w:pPr>
          </w:p>
        </w:tc>
      </w:tr>
      <w:tr w14:paraId="39D1D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6B17F47F">
            <w:pPr>
              <w:pStyle w:val="2"/>
              <w:spacing w:line="240" w:lineRule="auto"/>
              <w:jc w:val="left"/>
              <w:rPr>
                <w:color w:val="auto"/>
              </w:rPr>
            </w:pPr>
          </w:p>
        </w:tc>
        <w:tc>
          <w:tcPr>
            <w:tcW w:w="850" w:type="dxa"/>
          </w:tcPr>
          <w:p w14:paraId="1995188B">
            <w:pPr>
              <w:pStyle w:val="2"/>
              <w:spacing w:line="240" w:lineRule="auto"/>
              <w:jc w:val="left"/>
              <w:rPr>
                <w:color w:val="auto"/>
              </w:rPr>
            </w:pPr>
            <w:r>
              <w:rPr>
                <w:rFonts w:hint="eastAsia"/>
                <w:color w:val="auto"/>
              </w:rPr>
              <w:t>R</w:t>
            </w:r>
            <w:r>
              <w:rPr>
                <w:color w:val="auto"/>
              </w:rPr>
              <w:t>I</w:t>
            </w:r>
          </w:p>
        </w:tc>
        <w:tc>
          <w:tcPr>
            <w:tcW w:w="993" w:type="dxa"/>
          </w:tcPr>
          <w:p w14:paraId="347F108C">
            <w:pPr>
              <w:pStyle w:val="2"/>
              <w:spacing w:line="240" w:lineRule="auto"/>
              <w:jc w:val="center"/>
              <w:rPr>
                <w:color w:val="auto"/>
              </w:rPr>
            </w:pPr>
            <w:r>
              <w:rPr>
                <w:rFonts w:hint="eastAsia" w:ascii="宋体" w:hAnsi="宋体"/>
                <w:color w:val="auto"/>
              </w:rPr>
              <w:t>●</w:t>
            </w:r>
          </w:p>
        </w:tc>
        <w:tc>
          <w:tcPr>
            <w:tcW w:w="1559" w:type="dxa"/>
          </w:tcPr>
          <w:p w14:paraId="615A4ECC">
            <w:pPr>
              <w:pStyle w:val="2"/>
              <w:spacing w:line="240" w:lineRule="auto"/>
              <w:jc w:val="center"/>
              <w:rPr>
                <w:color w:val="auto"/>
              </w:rPr>
            </w:pPr>
          </w:p>
        </w:tc>
        <w:tc>
          <w:tcPr>
            <w:tcW w:w="709" w:type="dxa"/>
          </w:tcPr>
          <w:p w14:paraId="25A83316">
            <w:pPr>
              <w:pStyle w:val="2"/>
              <w:spacing w:line="240" w:lineRule="auto"/>
              <w:jc w:val="center"/>
              <w:rPr>
                <w:color w:val="auto"/>
              </w:rPr>
            </w:pPr>
          </w:p>
        </w:tc>
        <w:tc>
          <w:tcPr>
            <w:tcW w:w="1197" w:type="dxa"/>
          </w:tcPr>
          <w:p w14:paraId="38EBE3E3">
            <w:pPr>
              <w:pStyle w:val="2"/>
              <w:spacing w:line="240" w:lineRule="auto"/>
              <w:jc w:val="center"/>
              <w:rPr>
                <w:color w:val="auto"/>
              </w:rPr>
            </w:pPr>
          </w:p>
        </w:tc>
        <w:tc>
          <w:tcPr>
            <w:tcW w:w="1026" w:type="dxa"/>
          </w:tcPr>
          <w:p w14:paraId="25CF6E7F">
            <w:pPr>
              <w:pStyle w:val="2"/>
              <w:spacing w:line="240" w:lineRule="auto"/>
              <w:jc w:val="center"/>
              <w:rPr>
                <w:color w:val="auto"/>
              </w:rPr>
            </w:pPr>
            <w:r>
              <w:rPr>
                <w:rFonts w:hint="eastAsia" w:ascii="宋体" w:hAnsi="宋体"/>
                <w:color w:val="auto"/>
              </w:rPr>
              <w:t>●</w:t>
            </w:r>
          </w:p>
        </w:tc>
        <w:tc>
          <w:tcPr>
            <w:tcW w:w="1026" w:type="dxa"/>
          </w:tcPr>
          <w:p w14:paraId="620EF131">
            <w:pPr>
              <w:pStyle w:val="2"/>
              <w:spacing w:line="240" w:lineRule="auto"/>
              <w:jc w:val="center"/>
              <w:rPr>
                <w:color w:val="auto"/>
              </w:rPr>
            </w:pPr>
          </w:p>
        </w:tc>
        <w:tc>
          <w:tcPr>
            <w:tcW w:w="1026" w:type="dxa"/>
          </w:tcPr>
          <w:p w14:paraId="360E090C">
            <w:pPr>
              <w:pStyle w:val="2"/>
              <w:spacing w:line="240" w:lineRule="auto"/>
              <w:jc w:val="center"/>
              <w:rPr>
                <w:color w:val="auto"/>
              </w:rPr>
            </w:pPr>
            <w:r>
              <w:rPr>
                <w:rFonts w:hint="eastAsia" w:ascii="宋体" w:hAnsi="宋体"/>
                <w:color w:val="auto"/>
              </w:rPr>
              <w:t>●</w:t>
            </w:r>
          </w:p>
        </w:tc>
      </w:tr>
      <w:tr w14:paraId="6238D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9"/>
          </w:tcPr>
          <w:p w14:paraId="1758F039">
            <w:pPr>
              <w:pStyle w:val="2"/>
              <w:spacing w:line="240" w:lineRule="auto"/>
              <w:jc w:val="left"/>
              <w:rPr>
                <w:color w:val="auto"/>
              </w:rPr>
            </w:pPr>
            <w:r>
              <w:rPr>
                <w:rFonts w:hint="eastAsia"/>
                <w:color w:val="auto"/>
              </w:rPr>
              <w:t>注：</w:t>
            </w:r>
            <w:r>
              <w:rPr>
                <w:rFonts w:hint="eastAsia" w:ascii="宋体" w:hAnsi="宋体"/>
                <w:color w:val="auto"/>
              </w:rPr>
              <w:t>●</w:t>
            </w:r>
            <w:r>
              <w:rPr>
                <w:rFonts w:hint="eastAsia"/>
                <w:color w:val="auto"/>
              </w:rPr>
              <w:t>可选择</w:t>
            </w:r>
          </w:p>
        </w:tc>
      </w:tr>
    </w:tbl>
    <w:p w14:paraId="4B6C68DD">
      <w:pPr>
        <w:pStyle w:val="2"/>
        <w:jc w:val="left"/>
        <w:rPr>
          <w:color w:val="auto"/>
        </w:rPr>
      </w:pPr>
    </w:p>
    <w:p w14:paraId="5C7705AD">
      <w:pPr>
        <w:pStyle w:val="2"/>
        <w:ind w:right="180"/>
        <w:jc w:val="left"/>
        <w:rPr>
          <w:color w:val="auto"/>
        </w:rPr>
      </w:pPr>
    </w:p>
    <w:p w14:paraId="38CEFD5C">
      <w:pPr>
        <w:pStyle w:val="2"/>
        <w:rPr>
          <w:color w:val="auto"/>
        </w:rPr>
      </w:pPr>
    </w:p>
    <w:p w14:paraId="5F4231FE">
      <w:pPr>
        <w:pStyle w:val="2"/>
        <w:jc w:val="left"/>
        <w:rPr>
          <w:color w:val="auto"/>
        </w:rPr>
      </w:pPr>
    </w:p>
    <w:p w14:paraId="2CC2A000">
      <w:pPr>
        <w:pStyle w:val="2"/>
        <w:jc w:val="left"/>
        <w:rPr>
          <w:color w:val="auto"/>
        </w:rPr>
      </w:pPr>
    </w:p>
    <w:p w14:paraId="26F6CFE3">
      <w:pPr>
        <w:jc w:val="center"/>
        <w:rPr>
          <w:rFonts w:eastAsia="黑体"/>
          <w:b/>
          <w:szCs w:val="21"/>
        </w:rPr>
      </w:pPr>
    </w:p>
    <w:p w14:paraId="0B8C36B2">
      <w:pPr>
        <w:jc w:val="center"/>
        <w:rPr>
          <w:rFonts w:eastAsia="黑体"/>
          <w:b/>
          <w:szCs w:val="21"/>
        </w:rPr>
        <w:sectPr>
          <w:pgSz w:w="11907" w:h="16839"/>
          <w:pgMar w:top="1418" w:right="1247" w:bottom="1134" w:left="1418" w:header="1418" w:footer="851" w:gutter="0"/>
          <w:cols w:space="720" w:num="1"/>
          <w:docGrid w:type="lines" w:linePitch="312" w:charSpace="0"/>
        </w:sectPr>
      </w:pPr>
    </w:p>
    <w:p w14:paraId="1A52D495">
      <w:pPr>
        <w:pStyle w:val="3"/>
        <w:keepNext/>
        <w:keepLines/>
        <w:pageBreakBefore w:val="0"/>
        <w:widowControl w:val="0"/>
        <w:kinsoku/>
        <w:wordWrap/>
        <w:overflowPunct/>
        <w:topLinePunct w:val="0"/>
        <w:autoSpaceDE/>
        <w:autoSpaceDN/>
        <w:bidi w:val="0"/>
        <w:adjustRightInd/>
        <w:snapToGrid w:val="0"/>
        <w:spacing w:before="0" w:after="0" w:line="400" w:lineRule="exact"/>
        <w:jc w:val="center"/>
        <w:textAlignment w:val="auto"/>
        <w:rPr>
          <w:rFonts w:ascii="黑体" w:hAnsi="黑体" w:eastAsia="黑体" w:cs="黑体"/>
          <w:b w:val="0"/>
          <w:bCs w:val="0"/>
          <w:kern w:val="0"/>
          <w:sz w:val="21"/>
          <w:szCs w:val="21"/>
        </w:rPr>
      </w:pPr>
      <w:bookmarkStart w:id="24" w:name="_Toc18420"/>
      <w:r>
        <w:rPr>
          <w:rFonts w:ascii="黑体" w:hAnsi="黑体" w:eastAsia="黑体" w:cs="黑体"/>
          <w:b w:val="0"/>
          <w:bCs w:val="0"/>
          <w:kern w:val="0"/>
          <w:sz w:val="21"/>
          <w:szCs w:val="21"/>
        </w:rPr>
        <w:t>附  录</w:t>
      </w:r>
      <w:r>
        <w:rPr>
          <w:rFonts w:hint="eastAsia" w:ascii="黑体" w:hAnsi="黑体" w:eastAsia="黑体" w:cs="黑体"/>
          <w:b w:val="0"/>
          <w:bCs w:val="0"/>
          <w:kern w:val="0"/>
          <w:sz w:val="21"/>
          <w:szCs w:val="21"/>
          <w:lang w:val="en-US" w:eastAsia="zh-CN"/>
        </w:rPr>
        <w:t xml:space="preserve">  </w:t>
      </w:r>
      <w:r>
        <w:rPr>
          <w:rFonts w:ascii="黑体" w:hAnsi="黑体" w:eastAsia="黑体" w:cs="黑体"/>
          <w:b w:val="0"/>
          <w:bCs w:val="0"/>
          <w:kern w:val="0"/>
          <w:sz w:val="21"/>
          <w:szCs w:val="21"/>
        </w:rPr>
        <w:t>B</w:t>
      </w:r>
      <w:bookmarkEnd w:id="24"/>
    </w:p>
    <w:p w14:paraId="52D6B439">
      <w:pPr>
        <w:pStyle w:val="3"/>
        <w:keepNext/>
        <w:keepLines/>
        <w:pageBreakBefore w:val="0"/>
        <w:widowControl w:val="0"/>
        <w:kinsoku/>
        <w:wordWrap/>
        <w:overflowPunct/>
        <w:topLinePunct w:val="0"/>
        <w:autoSpaceDE/>
        <w:autoSpaceDN/>
        <w:bidi w:val="0"/>
        <w:adjustRightInd/>
        <w:snapToGrid w:val="0"/>
        <w:spacing w:before="0" w:after="0" w:line="400" w:lineRule="exact"/>
        <w:jc w:val="center"/>
        <w:textAlignment w:val="auto"/>
        <w:rPr>
          <w:rFonts w:ascii="黑体" w:hAnsi="黑体" w:eastAsia="黑体" w:cs="黑体"/>
          <w:b w:val="0"/>
          <w:bCs w:val="0"/>
          <w:kern w:val="0"/>
          <w:sz w:val="21"/>
          <w:szCs w:val="21"/>
        </w:rPr>
      </w:pPr>
      <w:bookmarkStart w:id="25" w:name="_Toc23029"/>
      <w:r>
        <w:rPr>
          <w:rFonts w:ascii="黑体" w:hAnsi="黑体" w:eastAsia="黑体" w:cs="黑体"/>
          <w:b w:val="0"/>
          <w:bCs w:val="0"/>
          <w:kern w:val="0"/>
          <w:sz w:val="21"/>
          <w:szCs w:val="21"/>
        </w:rPr>
        <w:t>（</w:t>
      </w:r>
      <w:r>
        <w:rPr>
          <w:rFonts w:hint="eastAsia" w:ascii="黑体" w:hAnsi="黑体" w:eastAsia="黑体" w:cs="黑体"/>
          <w:b w:val="0"/>
          <w:bCs w:val="0"/>
          <w:kern w:val="0"/>
          <w:sz w:val="21"/>
          <w:szCs w:val="21"/>
        </w:rPr>
        <w:t>资料</w:t>
      </w:r>
      <w:r>
        <w:rPr>
          <w:rFonts w:ascii="黑体" w:hAnsi="黑体" w:eastAsia="黑体" w:cs="黑体"/>
          <w:b w:val="0"/>
          <w:bCs w:val="0"/>
          <w:kern w:val="0"/>
          <w:sz w:val="21"/>
          <w:szCs w:val="21"/>
        </w:rPr>
        <w:t>性）</w:t>
      </w:r>
      <w:bookmarkEnd w:id="25"/>
    </w:p>
    <w:p w14:paraId="28C291D7">
      <w:pPr>
        <w:pStyle w:val="3"/>
        <w:keepNext/>
        <w:keepLines/>
        <w:pageBreakBefore w:val="0"/>
        <w:widowControl w:val="0"/>
        <w:kinsoku/>
        <w:wordWrap/>
        <w:overflowPunct/>
        <w:topLinePunct w:val="0"/>
        <w:autoSpaceDE/>
        <w:autoSpaceDN/>
        <w:bidi w:val="0"/>
        <w:adjustRightInd/>
        <w:snapToGrid w:val="0"/>
        <w:spacing w:before="0" w:after="0" w:line="400" w:lineRule="exact"/>
        <w:jc w:val="center"/>
        <w:textAlignment w:val="auto"/>
        <w:rPr>
          <w:rFonts w:ascii="黑体" w:hAnsi="黑体" w:eastAsia="黑体" w:cs="黑体"/>
          <w:b w:val="0"/>
          <w:bCs w:val="0"/>
          <w:kern w:val="0"/>
          <w:sz w:val="21"/>
          <w:szCs w:val="21"/>
        </w:rPr>
      </w:pPr>
      <w:bookmarkStart w:id="26" w:name="_Toc23250"/>
      <w:r>
        <w:rPr>
          <w:rFonts w:hint="eastAsia" w:ascii="黑体" w:hAnsi="黑体" w:eastAsia="黑体" w:cs="黑体"/>
          <w:b w:val="0"/>
          <w:bCs w:val="0"/>
          <w:kern w:val="0"/>
          <w:sz w:val="21"/>
          <w:szCs w:val="21"/>
        </w:rPr>
        <w:t>生物稳定性评价</w:t>
      </w:r>
      <w:bookmarkEnd w:id="26"/>
    </w:p>
    <w:p w14:paraId="623D7FF9">
      <w:pPr>
        <w:spacing w:line="400" w:lineRule="exact"/>
        <w:ind w:firstLine="420"/>
        <w:jc w:val="left"/>
        <w:rPr>
          <w:bCs/>
        </w:rPr>
      </w:pPr>
      <w:r>
        <w:rPr>
          <w:rFonts w:hint="eastAsia"/>
          <w:bCs/>
        </w:rPr>
        <w:t>再生水生物稳定性评价指标及说明见表</w:t>
      </w:r>
      <w:r>
        <w:rPr>
          <w:bCs/>
        </w:rPr>
        <w:t>B.1</w:t>
      </w:r>
      <w:r>
        <w:rPr>
          <w:rFonts w:hint="eastAsia"/>
          <w:bCs/>
        </w:rPr>
        <w:t>。</w:t>
      </w:r>
    </w:p>
    <w:p w14:paraId="0572BB4B">
      <w:pPr>
        <w:spacing w:before="156" w:beforeLines="50" w:line="400" w:lineRule="exact"/>
        <w:jc w:val="center"/>
        <w:rPr>
          <w:rFonts w:ascii="黑体" w:hAnsi="黑体" w:eastAsia="黑体"/>
        </w:rPr>
      </w:pPr>
      <w:r>
        <w:rPr>
          <w:rFonts w:hint="eastAsia" w:ascii="黑体" w:hAnsi="黑体" w:eastAsia="黑体"/>
        </w:rPr>
        <w:t>表</w:t>
      </w:r>
      <w:r>
        <w:rPr>
          <w:rFonts w:ascii="黑体" w:hAnsi="黑体" w:eastAsia="黑体"/>
        </w:rPr>
        <w:t xml:space="preserve">B.1  </w:t>
      </w:r>
      <w:r>
        <w:rPr>
          <w:rFonts w:hint="eastAsia" w:ascii="黑体" w:hAnsi="黑体" w:eastAsia="黑体"/>
        </w:rPr>
        <w:t>再生水生物稳定性评价指标</w:t>
      </w:r>
    </w:p>
    <w:tbl>
      <w:tblPr>
        <w:tblStyle w:val="7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5551"/>
      </w:tblGrid>
      <w:tr w14:paraId="1B929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1" w:type="dxa"/>
          </w:tcPr>
          <w:p w14:paraId="041DF84A">
            <w:pPr>
              <w:pStyle w:val="2"/>
              <w:spacing w:line="240" w:lineRule="auto"/>
              <w:jc w:val="center"/>
              <w:rPr>
                <w:color w:val="auto"/>
              </w:rPr>
            </w:pPr>
            <w:r>
              <w:rPr>
                <w:rFonts w:hint="eastAsia"/>
                <w:color w:val="auto"/>
              </w:rPr>
              <w:t>指标</w:t>
            </w:r>
          </w:p>
        </w:tc>
        <w:tc>
          <w:tcPr>
            <w:tcW w:w="5551" w:type="dxa"/>
          </w:tcPr>
          <w:p w14:paraId="212A747C">
            <w:pPr>
              <w:pStyle w:val="2"/>
              <w:spacing w:line="240" w:lineRule="auto"/>
              <w:jc w:val="center"/>
              <w:rPr>
                <w:color w:val="auto"/>
              </w:rPr>
            </w:pPr>
            <w:r>
              <w:rPr>
                <w:rFonts w:hint="eastAsia"/>
                <w:color w:val="auto"/>
              </w:rPr>
              <w:t>说明</w:t>
            </w:r>
          </w:p>
        </w:tc>
      </w:tr>
      <w:tr w14:paraId="1D3A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1" w:type="dxa"/>
          </w:tcPr>
          <w:p w14:paraId="7A63BAD7">
            <w:pPr>
              <w:pStyle w:val="2"/>
              <w:spacing w:line="240" w:lineRule="auto"/>
              <w:jc w:val="left"/>
              <w:rPr>
                <w:color w:val="auto"/>
              </w:rPr>
            </w:pPr>
            <w:r>
              <w:rPr>
                <w:rFonts w:hint="eastAsia"/>
                <w:color w:val="auto"/>
              </w:rPr>
              <w:t>生物可同化有机碳（A</w:t>
            </w:r>
            <w:r>
              <w:rPr>
                <w:color w:val="auto"/>
              </w:rPr>
              <w:t>OC</w:t>
            </w:r>
            <w:r>
              <w:rPr>
                <w:rFonts w:hint="eastAsia"/>
                <w:color w:val="auto"/>
              </w:rPr>
              <w:t>）</w:t>
            </w:r>
          </w:p>
        </w:tc>
        <w:tc>
          <w:tcPr>
            <w:tcW w:w="5551" w:type="dxa"/>
          </w:tcPr>
          <w:p w14:paraId="195D896A">
            <w:pPr>
              <w:pStyle w:val="2"/>
              <w:spacing w:line="240" w:lineRule="auto"/>
              <w:jc w:val="left"/>
              <w:rPr>
                <w:color w:val="auto"/>
              </w:rPr>
            </w:pPr>
            <w:r>
              <w:rPr>
                <w:rFonts w:hint="eastAsia"/>
                <w:color w:val="auto"/>
              </w:rPr>
              <w:t>检测用时3</w:t>
            </w:r>
            <w:r>
              <w:rPr>
                <w:color w:val="auto"/>
              </w:rPr>
              <w:t>~5d</w:t>
            </w:r>
            <w:r>
              <w:rPr>
                <w:rFonts w:hint="eastAsia"/>
                <w:color w:val="auto"/>
              </w:rPr>
              <w:t>，适于评价不同水质水样的生物稳定性</w:t>
            </w:r>
          </w:p>
        </w:tc>
      </w:tr>
      <w:tr w14:paraId="008FC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1" w:type="dxa"/>
          </w:tcPr>
          <w:p w14:paraId="17930884">
            <w:pPr>
              <w:pStyle w:val="2"/>
              <w:spacing w:line="240" w:lineRule="auto"/>
              <w:jc w:val="left"/>
              <w:rPr>
                <w:color w:val="auto"/>
              </w:rPr>
            </w:pPr>
            <w:r>
              <w:rPr>
                <w:rFonts w:hint="eastAsia"/>
                <w:color w:val="auto"/>
              </w:rPr>
              <w:t>可生物降解溶解性有机碳（B</w:t>
            </w:r>
            <w:r>
              <w:rPr>
                <w:color w:val="auto"/>
              </w:rPr>
              <w:t>DOC</w:t>
            </w:r>
            <w:r>
              <w:rPr>
                <w:rFonts w:hint="eastAsia"/>
                <w:color w:val="auto"/>
              </w:rPr>
              <w:t>）</w:t>
            </w:r>
          </w:p>
        </w:tc>
        <w:tc>
          <w:tcPr>
            <w:tcW w:w="5551" w:type="dxa"/>
          </w:tcPr>
          <w:p w14:paraId="4D9E4A89">
            <w:pPr>
              <w:pStyle w:val="2"/>
              <w:spacing w:line="240" w:lineRule="auto"/>
              <w:jc w:val="left"/>
              <w:rPr>
                <w:color w:val="auto"/>
              </w:rPr>
            </w:pPr>
            <w:r>
              <w:rPr>
                <w:rFonts w:hint="eastAsia"/>
                <w:color w:val="auto"/>
              </w:rPr>
              <w:t>检测用时2</w:t>
            </w:r>
            <w:r>
              <w:rPr>
                <w:color w:val="auto"/>
              </w:rPr>
              <w:t>8d</w:t>
            </w:r>
            <w:r>
              <w:rPr>
                <w:rFonts w:hint="eastAsia"/>
                <w:color w:val="auto"/>
              </w:rPr>
              <w:t>，适于评价不同水质水样的生物稳定性</w:t>
            </w:r>
          </w:p>
        </w:tc>
      </w:tr>
      <w:tr w14:paraId="7C46A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1" w:type="dxa"/>
          </w:tcPr>
          <w:p w14:paraId="591D9B56">
            <w:pPr>
              <w:pStyle w:val="2"/>
              <w:spacing w:line="240" w:lineRule="auto"/>
              <w:jc w:val="left"/>
              <w:rPr>
                <w:color w:val="auto"/>
              </w:rPr>
            </w:pPr>
            <w:r>
              <w:rPr>
                <w:rFonts w:hint="eastAsia"/>
                <w:color w:val="auto"/>
              </w:rPr>
              <w:t>细菌生长潜力（B</w:t>
            </w:r>
            <w:r>
              <w:rPr>
                <w:color w:val="auto"/>
              </w:rPr>
              <w:t>GP</w:t>
            </w:r>
            <w:r>
              <w:rPr>
                <w:rFonts w:hint="eastAsia"/>
                <w:color w:val="auto"/>
              </w:rPr>
              <w:t>）</w:t>
            </w:r>
          </w:p>
        </w:tc>
        <w:tc>
          <w:tcPr>
            <w:tcW w:w="5551" w:type="dxa"/>
          </w:tcPr>
          <w:p w14:paraId="2B0ABBDC">
            <w:pPr>
              <w:pStyle w:val="2"/>
              <w:spacing w:line="240" w:lineRule="auto"/>
              <w:jc w:val="left"/>
              <w:rPr>
                <w:color w:val="auto"/>
              </w:rPr>
            </w:pPr>
            <w:r>
              <w:rPr>
                <w:rFonts w:hint="eastAsia"/>
                <w:color w:val="auto"/>
              </w:rPr>
              <w:t>检测用时5</w:t>
            </w:r>
            <w:r>
              <w:rPr>
                <w:color w:val="auto"/>
              </w:rPr>
              <w:t>~7d</w:t>
            </w:r>
            <w:r>
              <w:rPr>
                <w:rFonts w:hint="eastAsia"/>
                <w:color w:val="auto"/>
              </w:rPr>
              <w:t>，难以比较不同水样</w:t>
            </w:r>
          </w:p>
        </w:tc>
      </w:tr>
      <w:tr w14:paraId="0C299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1" w:type="dxa"/>
          </w:tcPr>
          <w:p w14:paraId="6C3B8F0F">
            <w:pPr>
              <w:pStyle w:val="2"/>
              <w:spacing w:line="240" w:lineRule="auto"/>
              <w:jc w:val="left"/>
              <w:rPr>
                <w:color w:val="auto"/>
              </w:rPr>
            </w:pPr>
            <w:r>
              <w:rPr>
                <w:rFonts w:hint="eastAsia"/>
                <w:color w:val="auto"/>
              </w:rPr>
              <w:t>生物膜形成速率（B</w:t>
            </w:r>
            <w:r>
              <w:rPr>
                <w:color w:val="auto"/>
              </w:rPr>
              <w:t>FR</w:t>
            </w:r>
            <w:r>
              <w:rPr>
                <w:rFonts w:hint="eastAsia"/>
                <w:color w:val="auto"/>
              </w:rPr>
              <w:t>）</w:t>
            </w:r>
          </w:p>
        </w:tc>
        <w:tc>
          <w:tcPr>
            <w:tcW w:w="5551" w:type="dxa"/>
          </w:tcPr>
          <w:p w14:paraId="32FDF03B">
            <w:pPr>
              <w:pStyle w:val="2"/>
              <w:spacing w:line="240" w:lineRule="auto"/>
              <w:jc w:val="left"/>
              <w:rPr>
                <w:color w:val="auto"/>
              </w:rPr>
            </w:pPr>
            <w:r>
              <w:rPr>
                <w:rFonts w:hint="eastAsia"/>
                <w:color w:val="auto"/>
              </w:rPr>
              <w:t>检测用时几周到几个月，适于评价营养物质水平较低的水样的生物稳定性</w:t>
            </w:r>
          </w:p>
        </w:tc>
      </w:tr>
      <w:tr w14:paraId="14C8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1" w:type="dxa"/>
          </w:tcPr>
          <w:p w14:paraId="39D243F2">
            <w:pPr>
              <w:pStyle w:val="2"/>
              <w:spacing w:line="240" w:lineRule="auto"/>
              <w:jc w:val="left"/>
              <w:rPr>
                <w:color w:val="auto"/>
              </w:rPr>
            </w:pPr>
            <w:r>
              <w:rPr>
                <w:rFonts w:hint="eastAsia"/>
                <w:color w:val="auto"/>
              </w:rPr>
              <w:t>微生物可利用磷（M</w:t>
            </w:r>
            <w:r>
              <w:rPr>
                <w:color w:val="auto"/>
              </w:rPr>
              <w:t>AP</w:t>
            </w:r>
            <w:r>
              <w:rPr>
                <w:rFonts w:hint="eastAsia"/>
                <w:color w:val="auto"/>
              </w:rPr>
              <w:t>）</w:t>
            </w:r>
          </w:p>
        </w:tc>
        <w:tc>
          <w:tcPr>
            <w:tcW w:w="5551" w:type="dxa"/>
          </w:tcPr>
          <w:p w14:paraId="7BE022A2">
            <w:pPr>
              <w:pStyle w:val="2"/>
              <w:spacing w:line="240" w:lineRule="auto"/>
              <w:jc w:val="left"/>
              <w:rPr>
                <w:color w:val="auto"/>
              </w:rPr>
            </w:pPr>
            <w:r>
              <w:rPr>
                <w:rFonts w:hint="eastAsia"/>
                <w:color w:val="auto"/>
              </w:rPr>
              <w:t>检测用时3</w:t>
            </w:r>
            <w:r>
              <w:rPr>
                <w:color w:val="auto"/>
              </w:rPr>
              <w:t>d</w:t>
            </w:r>
            <w:r>
              <w:rPr>
                <w:rFonts w:hint="eastAsia"/>
                <w:color w:val="auto"/>
              </w:rPr>
              <w:t>，适于评价磷为细菌生长限制因素的水样的生物稳定性</w:t>
            </w:r>
          </w:p>
        </w:tc>
      </w:tr>
    </w:tbl>
    <w:p w14:paraId="65567A5C">
      <w:pPr>
        <w:pStyle w:val="2"/>
        <w:jc w:val="left"/>
        <w:rPr>
          <w:color w:val="auto"/>
        </w:rPr>
      </w:pPr>
    </w:p>
    <w:p w14:paraId="61C7A493">
      <w:pPr>
        <w:pStyle w:val="2"/>
        <w:jc w:val="left"/>
        <w:rPr>
          <w:color w:val="auto"/>
        </w:rPr>
      </w:pPr>
    </w:p>
    <w:p w14:paraId="58B010A4">
      <w:pPr>
        <w:jc w:val="center"/>
        <w:rPr>
          <w:rFonts w:eastAsia="黑体"/>
          <w:b/>
          <w:szCs w:val="21"/>
        </w:rPr>
        <w:sectPr>
          <w:pgSz w:w="11907" w:h="16839"/>
          <w:pgMar w:top="1418" w:right="1247" w:bottom="1134" w:left="1418" w:header="1418" w:footer="851" w:gutter="0"/>
          <w:cols w:space="720" w:num="1"/>
          <w:docGrid w:type="lines" w:linePitch="312" w:charSpace="0"/>
        </w:sectPr>
      </w:pPr>
    </w:p>
    <w:p w14:paraId="71370346">
      <w:pPr>
        <w:pStyle w:val="3"/>
        <w:keepNext/>
        <w:keepLines/>
        <w:pageBreakBefore w:val="0"/>
        <w:widowControl w:val="0"/>
        <w:kinsoku/>
        <w:wordWrap/>
        <w:overflowPunct/>
        <w:topLinePunct w:val="0"/>
        <w:autoSpaceDE/>
        <w:autoSpaceDN/>
        <w:bidi w:val="0"/>
        <w:adjustRightInd/>
        <w:snapToGrid w:val="0"/>
        <w:spacing w:before="0" w:after="0" w:line="400" w:lineRule="exact"/>
        <w:jc w:val="center"/>
        <w:textAlignment w:val="auto"/>
        <w:rPr>
          <w:rFonts w:ascii="黑体" w:hAnsi="黑体" w:eastAsia="黑体" w:cs="黑体"/>
          <w:b w:val="0"/>
          <w:bCs w:val="0"/>
          <w:kern w:val="0"/>
          <w:sz w:val="21"/>
          <w:szCs w:val="21"/>
        </w:rPr>
      </w:pPr>
      <w:bookmarkStart w:id="27" w:name="_Toc8525"/>
      <w:r>
        <w:rPr>
          <w:rFonts w:ascii="黑体" w:hAnsi="黑体" w:eastAsia="黑体" w:cs="黑体"/>
          <w:b w:val="0"/>
          <w:bCs w:val="0"/>
          <w:kern w:val="0"/>
          <w:sz w:val="21"/>
          <w:szCs w:val="21"/>
        </w:rPr>
        <w:t>附  录</w:t>
      </w:r>
      <w:r>
        <w:rPr>
          <w:rFonts w:hint="eastAsia" w:ascii="黑体" w:hAnsi="黑体" w:eastAsia="黑体" w:cs="黑体"/>
          <w:b w:val="0"/>
          <w:bCs w:val="0"/>
          <w:kern w:val="0"/>
          <w:sz w:val="21"/>
          <w:szCs w:val="21"/>
          <w:lang w:val="en-US" w:eastAsia="zh-CN"/>
        </w:rPr>
        <w:t xml:space="preserve">  </w:t>
      </w:r>
      <w:r>
        <w:rPr>
          <w:rFonts w:ascii="黑体" w:hAnsi="黑体" w:eastAsia="黑体" w:cs="黑体"/>
          <w:b w:val="0"/>
          <w:bCs w:val="0"/>
          <w:kern w:val="0"/>
          <w:sz w:val="21"/>
          <w:szCs w:val="21"/>
        </w:rPr>
        <w:t>C</w:t>
      </w:r>
      <w:bookmarkEnd w:id="27"/>
    </w:p>
    <w:p w14:paraId="03AE469B">
      <w:pPr>
        <w:pStyle w:val="3"/>
        <w:keepNext/>
        <w:keepLines/>
        <w:pageBreakBefore w:val="0"/>
        <w:widowControl w:val="0"/>
        <w:kinsoku/>
        <w:wordWrap/>
        <w:overflowPunct/>
        <w:topLinePunct w:val="0"/>
        <w:autoSpaceDE/>
        <w:autoSpaceDN/>
        <w:bidi w:val="0"/>
        <w:adjustRightInd/>
        <w:snapToGrid w:val="0"/>
        <w:spacing w:before="0" w:after="0" w:line="400" w:lineRule="exact"/>
        <w:jc w:val="center"/>
        <w:textAlignment w:val="auto"/>
        <w:rPr>
          <w:rFonts w:ascii="黑体" w:hAnsi="黑体" w:eastAsia="黑体" w:cs="黑体"/>
          <w:b w:val="0"/>
          <w:bCs w:val="0"/>
          <w:kern w:val="0"/>
          <w:sz w:val="21"/>
          <w:szCs w:val="21"/>
        </w:rPr>
      </w:pPr>
      <w:bookmarkStart w:id="28" w:name="_Toc27033"/>
      <w:r>
        <w:rPr>
          <w:rFonts w:ascii="黑体" w:hAnsi="黑体" w:eastAsia="黑体" w:cs="黑体"/>
          <w:b w:val="0"/>
          <w:bCs w:val="0"/>
          <w:kern w:val="0"/>
          <w:sz w:val="21"/>
          <w:szCs w:val="21"/>
        </w:rPr>
        <w:t>（</w:t>
      </w:r>
      <w:r>
        <w:rPr>
          <w:rFonts w:hint="eastAsia" w:ascii="黑体" w:hAnsi="黑体" w:eastAsia="黑体" w:cs="黑体"/>
          <w:b w:val="0"/>
          <w:bCs w:val="0"/>
          <w:kern w:val="0"/>
          <w:sz w:val="21"/>
          <w:szCs w:val="21"/>
        </w:rPr>
        <w:t>资料</w:t>
      </w:r>
      <w:r>
        <w:rPr>
          <w:rFonts w:ascii="黑体" w:hAnsi="黑体" w:eastAsia="黑体" w:cs="黑体"/>
          <w:b w:val="0"/>
          <w:bCs w:val="0"/>
          <w:kern w:val="0"/>
          <w:sz w:val="21"/>
          <w:szCs w:val="21"/>
        </w:rPr>
        <w:t>性）</w:t>
      </w:r>
      <w:bookmarkEnd w:id="28"/>
    </w:p>
    <w:p w14:paraId="4235FAFA">
      <w:pPr>
        <w:pStyle w:val="3"/>
        <w:keepNext/>
        <w:keepLines/>
        <w:pageBreakBefore w:val="0"/>
        <w:widowControl w:val="0"/>
        <w:kinsoku/>
        <w:wordWrap/>
        <w:overflowPunct/>
        <w:topLinePunct w:val="0"/>
        <w:autoSpaceDE/>
        <w:autoSpaceDN/>
        <w:bidi w:val="0"/>
        <w:adjustRightInd/>
        <w:snapToGrid w:val="0"/>
        <w:spacing w:before="0" w:after="0" w:line="400" w:lineRule="exact"/>
        <w:jc w:val="center"/>
        <w:textAlignment w:val="auto"/>
        <w:rPr>
          <w:rFonts w:ascii="黑体" w:hAnsi="黑体" w:eastAsia="黑体" w:cs="黑体"/>
          <w:b w:val="0"/>
          <w:bCs w:val="0"/>
          <w:kern w:val="0"/>
          <w:sz w:val="21"/>
          <w:szCs w:val="21"/>
        </w:rPr>
      </w:pPr>
      <w:bookmarkStart w:id="29" w:name="_Toc6316"/>
      <w:r>
        <w:rPr>
          <w:rFonts w:hint="eastAsia" w:ascii="黑体" w:hAnsi="黑体" w:eastAsia="黑体" w:cs="黑体"/>
          <w:b w:val="0"/>
          <w:bCs w:val="0"/>
          <w:kern w:val="0"/>
          <w:sz w:val="21"/>
          <w:szCs w:val="21"/>
        </w:rPr>
        <w:t>再生水用户处理工艺</w:t>
      </w:r>
      <w:bookmarkEnd w:id="29"/>
    </w:p>
    <w:p w14:paraId="5341892A">
      <w:pPr>
        <w:spacing w:line="400" w:lineRule="exact"/>
        <w:ind w:firstLine="420"/>
        <w:jc w:val="left"/>
        <w:rPr>
          <w:bCs/>
        </w:rPr>
      </w:pPr>
      <w:r>
        <w:rPr>
          <w:rFonts w:hint="eastAsia"/>
          <w:bCs/>
        </w:rPr>
        <w:t>再生水处理工艺选择见表</w:t>
      </w:r>
      <w:r>
        <w:rPr>
          <w:bCs/>
        </w:rPr>
        <w:t>C.1</w:t>
      </w:r>
      <w:r>
        <w:rPr>
          <w:rFonts w:hint="eastAsia"/>
          <w:bCs/>
        </w:rPr>
        <w:t>。</w:t>
      </w:r>
    </w:p>
    <w:p w14:paraId="63511401">
      <w:pPr>
        <w:spacing w:before="156" w:beforeLines="50" w:line="400" w:lineRule="exact"/>
        <w:jc w:val="center"/>
        <w:rPr>
          <w:rFonts w:ascii="黑体" w:hAnsi="黑体" w:eastAsia="黑体"/>
        </w:rPr>
      </w:pPr>
      <w:r>
        <w:rPr>
          <w:rFonts w:hint="eastAsia" w:ascii="黑体" w:hAnsi="黑体" w:eastAsia="黑体"/>
        </w:rPr>
        <w:t>表</w:t>
      </w:r>
      <w:r>
        <w:rPr>
          <w:rFonts w:ascii="黑体" w:hAnsi="黑体" w:eastAsia="黑体"/>
        </w:rPr>
        <w:t xml:space="preserve">C.1  </w:t>
      </w:r>
      <w:r>
        <w:rPr>
          <w:rFonts w:hint="eastAsia" w:ascii="黑体" w:hAnsi="黑体" w:eastAsia="黑体"/>
        </w:rPr>
        <w:t>再生水处理工艺选择</w:t>
      </w:r>
    </w:p>
    <w:tbl>
      <w:tblPr>
        <w:tblStyle w:val="7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93"/>
        <w:gridCol w:w="829"/>
        <w:gridCol w:w="857"/>
        <w:gridCol w:w="857"/>
        <w:gridCol w:w="797"/>
        <w:gridCol w:w="823"/>
      </w:tblGrid>
      <w:tr w14:paraId="12EE5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2798" w:type="pct"/>
            <w:vAlign w:val="center"/>
          </w:tcPr>
          <w:p w14:paraId="4FC90EE4">
            <w:pPr>
              <w:pStyle w:val="2"/>
              <w:spacing w:line="240" w:lineRule="auto"/>
              <w:jc w:val="center"/>
              <w:rPr>
                <w:color w:val="auto"/>
              </w:rPr>
            </w:pPr>
            <w:r>
              <w:rPr>
                <w:rFonts w:hint="eastAsia"/>
                <w:color w:val="auto"/>
              </w:rPr>
              <w:t>处理工艺</w:t>
            </w:r>
          </w:p>
        </w:tc>
        <w:tc>
          <w:tcPr>
            <w:tcW w:w="438" w:type="pct"/>
            <w:vAlign w:val="center"/>
          </w:tcPr>
          <w:p w14:paraId="3CF15ED7">
            <w:pPr>
              <w:pStyle w:val="2"/>
              <w:spacing w:line="240" w:lineRule="auto"/>
              <w:jc w:val="center"/>
              <w:rPr>
                <w:color w:val="auto"/>
              </w:rPr>
            </w:pPr>
            <w:r>
              <w:rPr>
                <w:rFonts w:hint="eastAsia"/>
                <w:color w:val="auto"/>
              </w:rPr>
              <w:t>冷却</w:t>
            </w:r>
          </w:p>
          <w:p w14:paraId="32447857">
            <w:pPr>
              <w:pStyle w:val="2"/>
              <w:spacing w:line="240" w:lineRule="auto"/>
              <w:jc w:val="center"/>
              <w:rPr>
                <w:color w:val="auto"/>
              </w:rPr>
            </w:pPr>
            <w:r>
              <w:rPr>
                <w:rFonts w:hint="eastAsia"/>
                <w:color w:val="auto"/>
              </w:rPr>
              <w:t>用水</w:t>
            </w:r>
          </w:p>
        </w:tc>
        <w:tc>
          <w:tcPr>
            <w:tcW w:w="453" w:type="pct"/>
            <w:shd w:val="clear" w:color="auto" w:fill="auto"/>
            <w:vAlign w:val="center"/>
          </w:tcPr>
          <w:p w14:paraId="51E64E53">
            <w:pPr>
              <w:pStyle w:val="2"/>
              <w:spacing w:line="240" w:lineRule="auto"/>
              <w:jc w:val="center"/>
              <w:rPr>
                <w:color w:val="auto"/>
              </w:rPr>
            </w:pPr>
            <w:r>
              <w:rPr>
                <w:rFonts w:hint="eastAsia"/>
                <w:color w:val="auto"/>
              </w:rPr>
              <w:t>洗涤</w:t>
            </w:r>
          </w:p>
          <w:p w14:paraId="252C82D6">
            <w:pPr>
              <w:pStyle w:val="2"/>
              <w:spacing w:line="240" w:lineRule="auto"/>
              <w:jc w:val="center"/>
              <w:rPr>
                <w:rFonts w:hint="eastAsia" w:ascii="Times New Roman" w:hAnsi="Times New Roman" w:eastAsia="宋体" w:cs="Times New Roman"/>
                <w:color w:val="auto"/>
                <w:kern w:val="2"/>
                <w:position w:val="-10"/>
                <w:sz w:val="18"/>
                <w:lang w:val="en-US" w:eastAsia="zh-CN" w:bidi="ar-SA"/>
              </w:rPr>
            </w:pPr>
            <w:r>
              <w:rPr>
                <w:rFonts w:hint="eastAsia"/>
                <w:color w:val="auto"/>
              </w:rPr>
              <w:t>用水</w:t>
            </w:r>
          </w:p>
        </w:tc>
        <w:tc>
          <w:tcPr>
            <w:tcW w:w="453" w:type="pct"/>
            <w:vAlign w:val="center"/>
          </w:tcPr>
          <w:p w14:paraId="10B649E5">
            <w:pPr>
              <w:pStyle w:val="2"/>
              <w:spacing w:line="240" w:lineRule="auto"/>
              <w:jc w:val="center"/>
              <w:rPr>
                <w:color w:val="auto"/>
              </w:rPr>
            </w:pPr>
            <w:r>
              <w:rPr>
                <w:rFonts w:hint="eastAsia"/>
                <w:color w:val="auto"/>
              </w:rPr>
              <w:t>锅炉</w:t>
            </w:r>
            <w:r>
              <w:rPr>
                <w:rFonts w:hint="eastAsia"/>
                <w:color w:val="auto"/>
                <w:lang w:val="en-US" w:eastAsia="zh-CN"/>
              </w:rPr>
              <w:t>与供热管网</w:t>
            </w:r>
            <w:r>
              <w:rPr>
                <w:rFonts w:hint="eastAsia"/>
                <w:color w:val="auto"/>
              </w:rPr>
              <w:t>用水</w:t>
            </w:r>
          </w:p>
        </w:tc>
        <w:tc>
          <w:tcPr>
            <w:tcW w:w="421" w:type="pct"/>
            <w:vAlign w:val="center"/>
          </w:tcPr>
          <w:p w14:paraId="57544D7D">
            <w:pPr>
              <w:pStyle w:val="2"/>
              <w:spacing w:line="240" w:lineRule="auto"/>
              <w:jc w:val="center"/>
              <w:rPr>
                <w:color w:val="auto"/>
              </w:rPr>
            </w:pPr>
            <w:r>
              <w:rPr>
                <w:rFonts w:hint="eastAsia"/>
                <w:color w:val="auto"/>
              </w:rPr>
              <w:t>工艺</w:t>
            </w:r>
          </w:p>
          <w:p w14:paraId="141443C2">
            <w:pPr>
              <w:pStyle w:val="2"/>
              <w:spacing w:line="240" w:lineRule="auto"/>
              <w:jc w:val="center"/>
              <w:rPr>
                <w:color w:val="auto"/>
              </w:rPr>
            </w:pPr>
            <w:r>
              <w:rPr>
                <w:rFonts w:hint="eastAsia"/>
                <w:color w:val="auto"/>
              </w:rPr>
              <w:t>用水</w:t>
            </w:r>
          </w:p>
        </w:tc>
        <w:tc>
          <w:tcPr>
            <w:tcW w:w="435" w:type="pct"/>
            <w:vAlign w:val="center"/>
          </w:tcPr>
          <w:p w14:paraId="798F92AE">
            <w:pPr>
              <w:pStyle w:val="2"/>
              <w:spacing w:line="240" w:lineRule="auto"/>
              <w:jc w:val="center"/>
              <w:rPr>
                <w:color w:val="auto"/>
              </w:rPr>
            </w:pPr>
            <w:r>
              <w:rPr>
                <w:rFonts w:hint="eastAsia"/>
                <w:color w:val="auto"/>
              </w:rPr>
              <w:t>产品</w:t>
            </w:r>
          </w:p>
          <w:p w14:paraId="23C5917A">
            <w:pPr>
              <w:pStyle w:val="2"/>
              <w:spacing w:line="240" w:lineRule="auto"/>
              <w:jc w:val="center"/>
              <w:rPr>
                <w:color w:val="auto"/>
              </w:rPr>
            </w:pPr>
            <w:r>
              <w:rPr>
                <w:rFonts w:hint="eastAsia"/>
                <w:color w:val="auto"/>
              </w:rPr>
              <w:t>用水</w:t>
            </w:r>
          </w:p>
        </w:tc>
      </w:tr>
      <w:tr w14:paraId="5C18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8" w:type="pct"/>
          </w:tcPr>
          <w:p w14:paraId="5311F758">
            <w:pPr>
              <w:pStyle w:val="2"/>
              <w:spacing w:line="240" w:lineRule="auto"/>
              <w:jc w:val="left"/>
              <w:rPr>
                <w:color w:val="auto"/>
              </w:rPr>
            </w:pPr>
            <w:r>
              <w:rPr>
                <w:rFonts w:hint="eastAsia"/>
                <w:color w:val="auto"/>
              </w:rPr>
              <w:t>进水</w:t>
            </w:r>
            <w:r>
              <w:rPr>
                <w:rFonts w:hint="eastAsia" w:ascii="宋体" w:hAnsi="宋体"/>
                <w:color w:val="auto"/>
              </w:rPr>
              <w:t>→</w:t>
            </w:r>
            <w:r>
              <w:rPr>
                <w:rFonts w:hint="eastAsia"/>
                <w:color w:val="auto"/>
              </w:rPr>
              <w:t>混凝沉淀</w:t>
            </w:r>
            <w:r>
              <w:rPr>
                <w:rFonts w:hint="eastAsia" w:ascii="宋体" w:hAnsi="宋体"/>
                <w:color w:val="auto"/>
              </w:rPr>
              <w:t>→</w:t>
            </w:r>
            <w:r>
              <w:rPr>
                <w:rFonts w:hint="eastAsia"/>
                <w:color w:val="auto"/>
              </w:rPr>
              <w:t>消毒</w:t>
            </w:r>
          </w:p>
        </w:tc>
        <w:tc>
          <w:tcPr>
            <w:tcW w:w="438" w:type="pct"/>
          </w:tcPr>
          <w:p w14:paraId="43F43827">
            <w:pPr>
              <w:pStyle w:val="2"/>
              <w:spacing w:line="240" w:lineRule="auto"/>
              <w:jc w:val="center"/>
              <w:rPr>
                <w:rFonts w:ascii="宋体" w:hAnsi="宋体"/>
                <w:color w:val="auto"/>
              </w:rPr>
            </w:pPr>
            <w:r>
              <w:rPr>
                <w:rFonts w:hint="eastAsia" w:ascii="宋体" w:hAnsi="宋体"/>
                <w:color w:val="auto"/>
              </w:rPr>
              <w:t>●</w:t>
            </w:r>
          </w:p>
        </w:tc>
        <w:tc>
          <w:tcPr>
            <w:tcW w:w="453" w:type="pct"/>
            <w:shd w:val="clear" w:color="auto" w:fill="auto"/>
            <w:vAlign w:val="top"/>
          </w:tcPr>
          <w:p w14:paraId="2849F223">
            <w:pPr>
              <w:pStyle w:val="2"/>
              <w:spacing w:line="240" w:lineRule="auto"/>
              <w:jc w:val="center"/>
              <w:rPr>
                <w:rFonts w:ascii="Times New Roman" w:hAnsi="Times New Roman" w:eastAsia="宋体" w:cs="Times New Roman"/>
                <w:color w:val="auto"/>
                <w:kern w:val="2"/>
                <w:position w:val="-10"/>
                <w:sz w:val="18"/>
                <w:lang w:val="en-US" w:eastAsia="zh-CN" w:bidi="ar-SA"/>
              </w:rPr>
            </w:pPr>
            <w:r>
              <w:rPr>
                <w:rFonts w:hint="eastAsia" w:ascii="宋体" w:hAnsi="宋体"/>
                <w:color w:val="auto"/>
              </w:rPr>
              <w:t>●</w:t>
            </w:r>
          </w:p>
        </w:tc>
        <w:tc>
          <w:tcPr>
            <w:tcW w:w="453" w:type="pct"/>
          </w:tcPr>
          <w:p w14:paraId="2C4E878E">
            <w:pPr>
              <w:pStyle w:val="2"/>
              <w:spacing w:line="240" w:lineRule="auto"/>
              <w:jc w:val="center"/>
              <w:rPr>
                <w:rFonts w:ascii="宋体" w:hAnsi="宋体"/>
                <w:color w:val="auto"/>
              </w:rPr>
            </w:pPr>
          </w:p>
        </w:tc>
        <w:tc>
          <w:tcPr>
            <w:tcW w:w="421" w:type="pct"/>
          </w:tcPr>
          <w:p w14:paraId="6B7AE793">
            <w:pPr>
              <w:pStyle w:val="2"/>
              <w:spacing w:line="240" w:lineRule="auto"/>
              <w:jc w:val="center"/>
              <w:rPr>
                <w:color w:val="auto"/>
              </w:rPr>
            </w:pPr>
            <w:r>
              <w:rPr>
                <w:rFonts w:hint="eastAsia" w:ascii="宋体" w:hAnsi="宋体"/>
                <w:color w:val="auto"/>
              </w:rPr>
              <w:t>●</w:t>
            </w:r>
          </w:p>
        </w:tc>
        <w:tc>
          <w:tcPr>
            <w:tcW w:w="435" w:type="pct"/>
          </w:tcPr>
          <w:p w14:paraId="4713514C">
            <w:pPr>
              <w:pStyle w:val="2"/>
              <w:spacing w:line="240" w:lineRule="auto"/>
              <w:jc w:val="center"/>
              <w:rPr>
                <w:color w:val="auto"/>
              </w:rPr>
            </w:pPr>
            <w:r>
              <w:rPr>
                <w:rFonts w:hint="eastAsia" w:ascii="宋体" w:hAnsi="宋体"/>
                <w:color w:val="auto"/>
              </w:rPr>
              <w:t>●</w:t>
            </w:r>
          </w:p>
        </w:tc>
      </w:tr>
      <w:tr w14:paraId="7AA9F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8" w:type="pct"/>
          </w:tcPr>
          <w:p w14:paraId="441A1EEC">
            <w:pPr>
              <w:pStyle w:val="2"/>
              <w:spacing w:line="240" w:lineRule="auto"/>
              <w:jc w:val="left"/>
              <w:rPr>
                <w:color w:val="auto"/>
              </w:rPr>
            </w:pPr>
            <w:r>
              <w:rPr>
                <w:rFonts w:hint="eastAsia"/>
                <w:color w:val="auto"/>
              </w:rPr>
              <w:t>进水</w:t>
            </w:r>
            <w:r>
              <w:rPr>
                <w:rFonts w:hint="eastAsia" w:ascii="宋体" w:hAnsi="宋体"/>
                <w:color w:val="auto"/>
              </w:rPr>
              <w:t>→介质过滤→</w:t>
            </w:r>
            <w:r>
              <w:rPr>
                <w:rFonts w:hint="eastAsia"/>
                <w:color w:val="auto"/>
              </w:rPr>
              <w:t>消毒</w:t>
            </w:r>
          </w:p>
        </w:tc>
        <w:tc>
          <w:tcPr>
            <w:tcW w:w="438" w:type="pct"/>
          </w:tcPr>
          <w:p w14:paraId="24609A50">
            <w:pPr>
              <w:pStyle w:val="2"/>
              <w:spacing w:line="240" w:lineRule="auto"/>
              <w:jc w:val="center"/>
              <w:rPr>
                <w:color w:val="auto"/>
              </w:rPr>
            </w:pPr>
            <w:r>
              <w:rPr>
                <w:rFonts w:hint="eastAsia" w:ascii="宋体" w:hAnsi="宋体"/>
                <w:color w:val="auto"/>
              </w:rPr>
              <w:t>●</w:t>
            </w:r>
          </w:p>
        </w:tc>
        <w:tc>
          <w:tcPr>
            <w:tcW w:w="453" w:type="pct"/>
            <w:shd w:val="clear" w:color="auto" w:fill="auto"/>
            <w:vAlign w:val="top"/>
          </w:tcPr>
          <w:p w14:paraId="7BA61EE7">
            <w:pPr>
              <w:pStyle w:val="2"/>
              <w:spacing w:line="240" w:lineRule="auto"/>
              <w:jc w:val="center"/>
              <w:rPr>
                <w:rFonts w:hint="eastAsia" w:ascii="Times New Roman" w:hAnsi="Times New Roman" w:eastAsia="宋体" w:cs="Times New Roman"/>
                <w:color w:val="auto"/>
                <w:kern w:val="2"/>
                <w:position w:val="-10"/>
                <w:sz w:val="18"/>
                <w:lang w:val="en-US" w:eastAsia="zh-CN" w:bidi="ar-SA"/>
              </w:rPr>
            </w:pPr>
            <w:r>
              <w:rPr>
                <w:rFonts w:hint="eastAsia" w:ascii="宋体" w:hAnsi="宋体"/>
                <w:color w:val="auto"/>
              </w:rPr>
              <w:t>●</w:t>
            </w:r>
          </w:p>
        </w:tc>
        <w:tc>
          <w:tcPr>
            <w:tcW w:w="453" w:type="pct"/>
          </w:tcPr>
          <w:p w14:paraId="44AD2D96">
            <w:pPr>
              <w:pStyle w:val="2"/>
              <w:spacing w:line="240" w:lineRule="auto"/>
              <w:jc w:val="center"/>
              <w:rPr>
                <w:color w:val="auto"/>
              </w:rPr>
            </w:pPr>
            <w:r>
              <w:rPr>
                <w:rFonts w:hint="eastAsia" w:ascii="宋体" w:hAnsi="宋体"/>
                <w:color w:val="auto"/>
              </w:rPr>
              <w:t>●</w:t>
            </w:r>
          </w:p>
        </w:tc>
        <w:tc>
          <w:tcPr>
            <w:tcW w:w="421" w:type="pct"/>
          </w:tcPr>
          <w:p w14:paraId="57948DDE">
            <w:pPr>
              <w:pStyle w:val="2"/>
              <w:spacing w:line="240" w:lineRule="auto"/>
              <w:jc w:val="center"/>
              <w:rPr>
                <w:color w:val="auto"/>
              </w:rPr>
            </w:pPr>
            <w:r>
              <w:rPr>
                <w:rFonts w:hint="eastAsia" w:ascii="宋体" w:hAnsi="宋体"/>
                <w:color w:val="auto"/>
              </w:rPr>
              <w:t>●</w:t>
            </w:r>
          </w:p>
        </w:tc>
        <w:tc>
          <w:tcPr>
            <w:tcW w:w="435" w:type="pct"/>
          </w:tcPr>
          <w:p w14:paraId="398E64CF">
            <w:pPr>
              <w:pStyle w:val="2"/>
              <w:spacing w:line="240" w:lineRule="auto"/>
              <w:jc w:val="center"/>
              <w:rPr>
                <w:color w:val="auto"/>
              </w:rPr>
            </w:pPr>
            <w:r>
              <w:rPr>
                <w:rFonts w:hint="eastAsia" w:ascii="宋体" w:hAnsi="宋体"/>
                <w:color w:val="auto"/>
              </w:rPr>
              <w:t>●</w:t>
            </w:r>
          </w:p>
        </w:tc>
      </w:tr>
      <w:tr w14:paraId="37B2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8" w:type="pct"/>
          </w:tcPr>
          <w:p w14:paraId="55DB22CF">
            <w:pPr>
              <w:pStyle w:val="2"/>
              <w:spacing w:line="240" w:lineRule="auto"/>
              <w:jc w:val="left"/>
              <w:rPr>
                <w:color w:val="auto"/>
              </w:rPr>
            </w:pPr>
            <w:r>
              <w:rPr>
                <w:rFonts w:hint="eastAsia"/>
                <w:color w:val="auto"/>
              </w:rPr>
              <w:t>进水</w:t>
            </w:r>
            <w:r>
              <w:rPr>
                <w:rFonts w:hint="eastAsia" w:ascii="宋体" w:hAnsi="宋体"/>
                <w:color w:val="auto"/>
              </w:rPr>
              <w:t>→</w:t>
            </w:r>
            <w:r>
              <w:rPr>
                <w:rFonts w:hint="eastAsia"/>
                <w:color w:val="auto"/>
              </w:rPr>
              <w:t>混凝沉淀</w:t>
            </w:r>
            <w:r>
              <w:rPr>
                <w:rFonts w:hint="eastAsia" w:ascii="宋体" w:hAnsi="宋体"/>
                <w:color w:val="auto"/>
              </w:rPr>
              <w:t>→介质过滤→</w:t>
            </w:r>
            <w:r>
              <w:rPr>
                <w:rFonts w:hint="eastAsia"/>
                <w:color w:val="auto"/>
              </w:rPr>
              <w:t>消毒</w:t>
            </w:r>
          </w:p>
        </w:tc>
        <w:tc>
          <w:tcPr>
            <w:tcW w:w="438" w:type="pct"/>
          </w:tcPr>
          <w:p w14:paraId="2B3FDC49">
            <w:pPr>
              <w:pStyle w:val="2"/>
              <w:spacing w:line="240" w:lineRule="auto"/>
              <w:jc w:val="center"/>
              <w:rPr>
                <w:color w:val="auto"/>
              </w:rPr>
            </w:pPr>
            <w:r>
              <w:rPr>
                <w:rFonts w:hint="eastAsia" w:ascii="宋体" w:hAnsi="宋体"/>
                <w:color w:val="auto"/>
              </w:rPr>
              <w:t>●</w:t>
            </w:r>
          </w:p>
        </w:tc>
        <w:tc>
          <w:tcPr>
            <w:tcW w:w="453" w:type="pct"/>
            <w:shd w:val="clear" w:color="auto" w:fill="auto"/>
            <w:vAlign w:val="top"/>
          </w:tcPr>
          <w:p w14:paraId="5FF330D2">
            <w:pPr>
              <w:pStyle w:val="2"/>
              <w:spacing w:line="240" w:lineRule="auto"/>
              <w:jc w:val="center"/>
              <w:rPr>
                <w:rFonts w:hint="eastAsia" w:ascii="Times New Roman" w:hAnsi="Times New Roman" w:eastAsia="宋体" w:cs="Times New Roman"/>
                <w:color w:val="auto"/>
                <w:kern w:val="2"/>
                <w:position w:val="-10"/>
                <w:sz w:val="18"/>
                <w:lang w:val="en-US" w:eastAsia="zh-CN" w:bidi="ar-SA"/>
              </w:rPr>
            </w:pPr>
            <w:r>
              <w:rPr>
                <w:rFonts w:hint="eastAsia" w:ascii="宋体" w:hAnsi="宋体"/>
                <w:color w:val="auto"/>
              </w:rPr>
              <w:t>●</w:t>
            </w:r>
          </w:p>
        </w:tc>
        <w:tc>
          <w:tcPr>
            <w:tcW w:w="453" w:type="pct"/>
          </w:tcPr>
          <w:p w14:paraId="7E2428A6">
            <w:pPr>
              <w:pStyle w:val="2"/>
              <w:spacing w:line="240" w:lineRule="auto"/>
              <w:jc w:val="center"/>
              <w:rPr>
                <w:color w:val="auto"/>
              </w:rPr>
            </w:pPr>
            <w:r>
              <w:rPr>
                <w:rFonts w:hint="eastAsia" w:ascii="宋体" w:hAnsi="宋体"/>
                <w:color w:val="auto"/>
              </w:rPr>
              <w:t>●</w:t>
            </w:r>
          </w:p>
        </w:tc>
        <w:tc>
          <w:tcPr>
            <w:tcW w:w="421" w:type="pct"/>
          </w:tcPr>
          <w:p w14:paraId="3305DA08">
            <w:pPr>
              <w:pStyle w:val="2"/>
              <w:spacing w:line="240" w:lineRule="auto"/>
              <w:jc w:val="center"/>
              <w:rPr>
                <w:color w:val="auto"/>
              </w:rPr>
            </w:pPr>
            <w:r>
              <w:rPr>
                <w:rFonts w:hint="eastAsia" w:ascii="宋体" w:hAnsi="宋体"/>
                <w:color w:val="auto"/>
              </w:rPr>
              <w:t>●</w:t>
            </w:r>
          </w:p>
        </w:tc>
        <w:tc>
          <w:tcPr>
            <w:tcW w:w="435" w:type="pct"/>
          </w:tcPr>
          <w:p w14:paraId="4EE3D7F1">
            <w:pPr>
              <w:pStyle w:val="2"/>
              <w:spacing w:line="240" w:lineRule="auto"/>
              <w:jc w:val="center"/>
              <w:rPr>
                <w:color w:val="auto"/>
              </w:rPr>
            </w:pPr>
            <w:r>
              <w:rPr>
                <w:rFonts w:hint="eastAsia" w:ascii="宋体" w:hAnsi="宋体"/>
                <w:color w:val="auto"/>
              </w:rPr>
              <w:t>●</w:t>
            </w:r>
          </w:p>
        </w:tc>
      </w:tr>
      <w:tr w14:paraId="6635C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8" w:type="pct"/>
          </w:tcPr>
          <w:p w14:paraId="15ED2548">
            <w:pPr>
              <w:pStyle w:val="2"/>
              <w:spacing w:line="240" w:lineRule="auto"/>
              <w:jc w:val="left"/>
              <w:rPr>
                <w:color w:val="auto"/>
              </w:rPr>
            </w:pPr>
            <w:r>
              <w:rPr>
                <w:rFonts w:hint="eastAsia"/>
                <w:color w:val="auto"/>
              </w:rPr>
              <w:t>进水</w:t>
            </w:r>
            <w:r>
              <w:rPr>
                <w:rFonts w:hint="eastAsia" w:ascii="宋体" w:hAnsi="宋体"/>
                <w:color w:val="auto"/>
              </w:rPr>
              <w:t>→</w:t>
            </w:r>
            <w:r>
              <w:rPr>
                <w:rFonts w:hint="eastAsia"/>
                <w:color w:val="auto"/>
              </w:rPr>
              <w:t>超滤/微滤</w:t>
            </w:r>
            <w:r>
              <w:rPr>
                <w:rFonts w:hint="eastAsia" w:ascii="宋体" w:hAnsi="宋体"/>
                <w:color w:val="auto"/>
              </w:rPr>
              <w:t>→</w:t>
            </w:r>
            <w:r>
              <w:rPr>
                <w:rFonts w:hint="eastAsia"/>
                <w:color w:val="auto"/>
              </w:rPr>
              <w:t>消毒</w:t>
            </w:r>
          </w:p>
        </w:tc>
        <w:tc>
          <w:tcPr>
            <w:tcW w:w="438" w:type="pct"/>
          </w:tcPr>
          <w:p w14:paraId="3E4F55CC">
            <w:pPr>
              <w:pStyle w:val="2"/>
              <w:spacing w:line="240" w:lineRule="auto"/>
              <w:jc w:val="center"/>
              <w:rPr>
                <w:color w:val="auto"/>
              </w:rPr>
            </w:pPr>
            <w:r>
              <w:rPr>
                <w:rFonts w:hint="eastAsia" w:ascii="宋体" w:hAnsi="宋体"/>
                <w:color w:val="auto"/>
              </w:rPr>
              <w:t>●</w:t>
            </w:r>
          </w:p>
        </w:tc>
        <w:tc>
          <w:tcPr>
            <w:tcW w:w="453" w:type="pct"/>
            <w:shd w:val="clear" w:color="auto" w:fill="auto"/>
            <w:vAlign w:val="top"/>
          </w:tcPr>
          <w:p w14:paraId="56E15B4C">
            <w:pPr>
              <w:pStyle w:val="2"/>
              <w:spacing w:line="240" w:lineRule="auto"/>
              <w:jc w:val="center"/>
              <w:rPr>
                <w:rFonts w:hint="eastAsia" w:ascii="Times New Roman" w:hAnsi="Times New Roman" w:eastAsia="宋体" w:cs="Times New Roman"/>
                <w:color w:val="auto"/>
                <w:kern w:val="2"/>
                <w:position w:val="-10"/>
                <w:sz w:val="18"/>
                <w:lang w:val="en-US" w:eastAsia="zh-CN" w:bidi="ar-SA"/>
              </w:rPr>
            </w:pPr>
            <w:r>
              <w:rPr>
                <w:rFonts w:hint="eastAsia" w:ascii="宋体" w:hAnsi="宋体"/>
                <w:color w:val="auto"/>
              </w:rPr>
              <w:t>●</w:t>
            </w:r>
          </w:p>
        </w:tc>
        <w:tc>
          <w:tcPr>
            <w:tcW w:w="453" w:type="pct"/>
          </w:tcPr>
          <w:p w14:paraId="33FEEAD9">
            <w:pPr>
              <w:pStyle w:val="2"/>
              <w:spacing w:line="240" w:lineRule="auto"/>
              <w:jc w:val="center"/>
              <w:rPr>
                <w:color w:val="auto"/>
              </w:rPr>
            </w:pPr>
            <w:r>
              <w:rPr>
                <w:rFonts w:hint="eastAsia" w:ascii="宋体" w:hAnsi="宋体"/>
                <w:color w:val="auto"/>
              </w:rPr>
              <w:t>●</w:t>
            </w:r>
          </w:p>
        </w:tc>
        <w:tc>
          <w:tcPr>
            <w:tcW w:w="421" w:type="pct"/>
          </w:tcPr>
          <w:p w14:paraId="3C8B195C">
            <w:pPr>
              <w:pStyle w:val="2"/>
              <w:spacing w:line="240" w:lineRule="auto"/>
              <w:jc w:val="center"/>
              <w:rPr>
                <w:color w:val="auto"/>
              </w:rPr>
            </w:pPr>
            <w:r>
              <w:rPr>
                <w:rFonts w:hint="eastAsia" w:ascii="宋体" w:hAnsi="宋体"/>
                <w:color w:val="auto"/>
              </w:rPr>
              <w:t>●</w:t>
            </w:r>
          </w:p>
        </w:tc>
        <w:tc>
          <w:tcPr>
            <w:tcW w:w="435" w:type="pct"/>
          </w:tcPr>
          <w:p w14:paraId="50F9DFDF">
            <w:pPr>
              <w:pStyle w:val="2"/>
              <w:spacing w:line="240" w:lineRule="auto"/>
              <w:jc w:val="center"/>
              <w:rPr>
                <w:color w:val="auto"/>
              </w:rPr>
            </w:pPr>
            <w:r>
              <w:rPr>
                <w:rFonts w:hint="eastAsia" w:ascii="宋体" w:hAnsi="宋体"/>
                <w:color w:val="auto"/>
              </w:rPr>
              <w:t>●</w:t>
            </w:r>
          </w:p>
        </w:tc>
      </w:tr>
      <w:tr w14:paraId="0D007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8" w:type="pct"/>
          </w:tcPr>
          <w:p w14:paraId="08A42A47">
            <w:pPr>
              <w:pStyle w:val="2"/>
              <w:spacing w:line="240" w:lineRule="auto"/>
              <w:jc w:val="left"/>
              <w:rPr>
                <w:color w:val="auto"/>
              </w:rPr>
            </w:pPr>
            <w:r>
              <w:rPr>
                <w:rFonts w:hint="eastAsia"/>
                <w:color w:val="auto"/>
              </w:rPr>
              <w:t>进水</w:t>
            </w:r>
            <w:r>
              <w:rPr>
                <w:rFonts w:hint="eastAsia" w:ascii="宋体" w:hAnsi="宋体"/>
                <w:color w:val="auto"/>
              </w:rPr>
              <w:t>→</w:t>
            </w:r>
            <w:r>
              <w:rPr>
                <w:rFonts w:hint="eastAsia"/>
                <w:color w:val="auto"/>
              </w:rPr>
              <w:t>混凝沉淀</w:t>
            </w:r>
            <w:r>
              <w:rPr>
                <w:rFonts w:hint="eastAsia" w:ascii="宋体" w:hAnsi="宋体"/>
                <w:color w:val="auto"/>
              </w:rPr>
              <w:t>→</w:t>
            </w:r>
            <w:r>
              <w:rPr>
                <w:rFonts w:hint="eastAsia"/>
                <w:color w:val="auto"/>
              </w:rPr>
              <w:t>超滤/微滤</w:t>
            </w:r>
            <w:r>
              <w:rPr>
                <w:rFonts w:hint="eastAsia" w:ascii="宋体" w:hAnsi="宋体"/>
                <w:color w:val="auto"/>
              </w:rPr>
              <w:t>→</w:t>
            </w:r>
            <w:r>
              <w:rPr>
                <w:rFonts w:hint="eastAsia"/>
                <w:color w:val="auto"/>
              </w:rPr>
              <w:t>消毒</w:t>
            </w:r>
          </w:p>
        </w:tc>
        <w:tc>
          <w:tcPr>
            <w:tcW w:w="438" w:type="pct"/>
          </w:tcPr>
          <w:p w14:paraId="33022CA0">
            <w:pPr>
              <w:pStyle w:val="2"/>
              <w:spacing w:line="240" w:lineRule="auto"/>
              <w:jc w:val="center"/>
              <w:rPr>
                <w:rFonts w:ascii="宋体" w:hAnsi="宋体"/>
                <w:color w:val="auto"/>
              </w:rPr>
            </w:pPr>
            <w:r>
              <w:rPr>
                <w:rFonts w:hint="eastAsia" w:ascii="宋体" w:hAnsi="宋体"/>
                <w:color w:val="auto"/>
              </w:rPr>
              <w:t>●</w:t>
            </w:r>
          </w:p>
        </w:tc>
        <w:tc>
          <w:tcPr>
            <w:tcW w:w="453" w:type="pct"/>
            <w:shd w:val="clear" w:color="auto" w:fill="auto"/>
            <w:vAlign w:val="top"/>
          </w:tcPr>
          <w:p w14:paraId="4D97445B">
            <w:pPr>
              <w:pStyle w:val="2"/>
              <w:spacing w:line="240" w:lineRule="auto"/>
              <w:jc w:val="center"/>
              <w:rPr>
                <w:rFonts w:hint="eastAsia" w:ascii="Times New Roman" w:hAnsi="Times New Roman" w:eastAsia="宋体" w:cs="Times New Roman"/>
                <w:color w:val="auto"/>
                <w:kern w:val="2"/>
                <w:position w:val="-10"/>
                <w:sz w:val="18"/>
                <w:lang w:val="en-US" w:eastAsia="zh-CN" w:bidi="ar-SA"/>
              </w:rPr>
            </w:pPr>
            <w:r>
              <w:rPr>
                <w:rFonts w:hint="eastAsia" w:ascii="宋体" w:hAnsi="宋体"/>
                <w:color w:val="auto"/>
              </w:rPr>
              <w:t>●</w:t>
            </w:r>
          </w:p>
        </w:tc>
        <w:tc>
          <w:tcPr>
            <w:tcW w:w="453" w:type="pct"/>
          </w:tcPr>
          <w:p w14:paraId="1CC6BE9B">
            <w:pPr>
              <w:pStyle w:val="2"/>
              <w:spacing w:line="240" w:lineRule="auto"/>
              <w:jc w:val="center"/>
              <w:rPr>
                <w:rFonts w:ascii="宋体" w:hAnsi="宋体"/>
                <w:color w:val="auto"/>
              </w:rPr>
            </w:pPr>
            <w:r>
              <w:rPr>
                <w:rFonts w:hint="eastAsia" w:ascii="宋体" w:hAnsi="宋体"/>
                <w:color w:val="auto"/>
              </w:rPr>
              <w:t>●</w:t>
            </w:r>
          </w:p>
        </w:tc>
        <w:tc>
          <w:tcPr>
            <w:tcW w:w="421" w:type="pct"/>
          </w:tcPr>
          <w:p w14:paraId="4EA7235F">
            <w:pPr>
              <w:pStyle w:val="2"/>
              <w:spacing w:line="240" w:lineRule="auto"/>
              <w:jc w:val="center"/>
              <w:rPr>
                <w:color w:val="auto"/>
              </w:rPr>
            </w:pPr>
            <w:r>
              <w:rPr>
                <w:rFonts w:hint="eastAsia" w:ascii="宋体" w:hAnsi="宋体"/>
                <w:color w:val="auto"/>
              </w:rPr>
              <w:t>●</w:t>
            </w:r>
          </w:p>
        </w:tc>
        <w:tc>
          <w:tcPr>
            <w:tcW w:w="435" w:type="pct"/>
          </w:tcPr>
          <w:p w14:paraId="4B39EE73">
            <w:pPr>
              <w:pStyle w:val="2"/>
              <w:spacing w:line="240" w:lineRule="auto"/>
              <w:jc w:val="center"/>
              <w:rPr>
                <w:color w:val="auto"/>
              </w:rPr>
            </w:pPr>
            <w:r>
              <w:rPr>
                <w:rFonts w:hint="eastAsia" w:ascii="宋体" w:hAnsi="宋体"/>
                <w:color w:val="auto"/>
              </w:rPr>
              <w:t>●</w:t>
            </w:r>
          </w:p>
        </w:tc>
      </w:tr>
      <w:tr w14:paraId="39DFB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8" w:type="pct"/>
          </w:tcPr>
          <w:p w14:paraId="513666BE">
            <w:pPr>
              <w:pStyle w:val="2"/>
              <w:spacing w:line="240" w:lineRule="auto"/>
              <w:jc w:val="left"/>
              <w:rPr>
                <w:color w:val="auto"/>
              </w:rPr>
            </w:pPr>
            <w:r>
              <w:rPr>
                <w:rFonts w:hint="eastAsia"/>
                <w:color w:val="auto"/>
              </w:rPr>
              <w:t>进水</w:t>
            </w:r>
            <w:r>
              <w:rPr>
                <w:rFonts w:hint="eastAsia" w:ascii="宋体" w:hAnsi="宋体"/>
                <w:color w:val="auto"/>
              </w:rPr>
              <w:t>→</w:t>
            </w:r>
            <w:r>
              <w:rPr>
                <w:rFonts w:hint="eastAsia"/>
                <w:color w:val="auto"/>
              </w:rPr>
              <w:t>超滤/微滤</w:t>
            </w:r>
            <w:r>
              <w:rPr>
                <w:rFonts w:hint="eastAsia" w:ascii="宋体" w:hAnsi="宋体"/>
                <w:color w:val="auto"/>
              </w:rPr>
              <w:t>→</w:t>
            </w:r>
            <w:r>
              <w:rPr>
                <w:rFonts w:hint="eastAsia"/>
                <w:color w:val="auto"/>
              </w:rPr>
              <w:t>纳滤/反渗透</w:t>
            </w:r>
          </w:p>
        </w:tc>
        <w:tc>
          <w:tcPr>
            <w:tcW w:w="438" w:type="pct"/>
          </w:tcPr>
          <w:p w14:paraId="6A5DFC66">
            <w:pPr>
              <w:pStyle w:val="2"/>
              <w:spacing w:line="240" w:lineRule="auto"/>
              <w:jc w:val="center"/>
              <w:rPr>
                <w:color w:val="auto"/>
              </w:rPr>
            </w:pPr>
          </w:p>
        </w:tc>
        <w:tc>
          <w:tcPr>
            <w:tcW w:w="453" w:type="pct"/>
            <w:shd w:val="clear" w:color="auto" w:fill="auto"/>
            <w:vAlign w:val="top"/>
          </w:tcPr>
          <w:p w14:paraId="2ADB014B">
            <w:pPr>
              <w:pStyle w:val="2"/>
              <w:spacing w:line="240" w:lineRule="auto"/>
              <w:jc w:val="center"/>
              <w:rPr>
                <w:rFonts w:hint="eastAsia" w:ascii="Times New Roman" w:hAnsi="Times New Roman" w:eastAsia="宋体" w:cs="Times New Roman"/>
                <w:color w:val="auto"/>
                <w:kern w:val="2"/>
                <w:position w:val="-10"/>
                <w:sz w:val="18"/>
                <w:lang w:val="en-US" w:eastAsia="zh-CN" w:bidi="ar-SA"/>
              </w:rPr>
            </w:pPr>
          </w:p>
        </w:tc>
        <w:tc>
          <w:tcPr>
            <w:tcW w:w="453" w:type="pct"/>
          </w:tcPr>
          <w:p w14:paraId="3E75C754">
            <w:pPr>
              <w:pStyle w:val="2"/>
              <w:spacing w:line="240" w:lineRule="auto"/>
              <w:jc w:val="center"/>
              <w:rPr>
                <w:color w:val="auto"/>
              </w:rPr>
            </w:pPr>
            <w:r>
              <w:rPr>
                <w:rFonts w:hint="eastAsia" w:ascii="宋体" w:hAnsi="宋体"/>
                <w:color w:val="auto"/>
              </w:rPr>
              <w:t>●</w:t>
            </w:r>
          </w:p>
        </w:tc>
        <w:tc>
          <w:tcPr>
            <w:tcW w:w="421" w:type="pct"/>
          </w:tcPr>
          <w:p w14:paraId="1183887E">
            <w:pPr>
              <w:pStyle w:val="2"/>
              <w:spacing w:line="240" w:lineRule="auto"/>
              <w:jc w:val="center"/>
              <w:rPr>
                <w:color w:val="auto"/>
              </w:rPr>
            </w:pPr>
            <w:r>
              <w:rPr>
                <w:rFonts w:hint="eastAsia" w:ascii="宋体" w:hAnsi="宋体"/>
                <w:color w:val="auto"/>
              </w:rPr>
              <w:t>●</w:t>
            </w:r>
          </w:p>
        </w:tc>
        <w:tc>
          <w:tcPr>
            <w:tcW w:w="435" w:type="pct"/>
          </w:tcPr>
          <w:p w14:paraId="31CDC447">
            <w:pPr>
              <w:pStyle w:val="2"/>
              <w:spacing w:line="240" w:lineRule="auto"/>
              <w:jc w:val="center"/>
              <w:rPr>
                <w:color w:val="auto"/>
              </w:rPr>
            </w:pPr>
            <w:r>
              <w:rPr>
                <w:rFonts w:hint="eastAsia" w:ascii="宋体" w:hAnsi="宋体"/>
                <w:color w:val="auto"/>
              </w:rPr>
              <w:t>●</w:t>
            </w:r>
          </w:p>
        </w:tc>
      </w:tr>
      <w:tr w14:paraId="3CF1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8" w:type="pct"/>
          </w:tcPr>
          <w:p w14:paraId="6A60D9C6">
            <w:pPr>
              <w:pStyle w:val="2"/>
              <w:spacing w:line="240" w:lineRule="auto"/>
              <w:jc w:val="left"/>
              <w:rPr>
                <w:color w:val="auto"/>
              </w:rPr>
            </w:pPr>
            <w:r>
              <w:rPr>
                <w:rFonts w:hint="eastAsia"/>
                <w:color w:val="auto"/>
              </w:rPr>
              <w:t>进水</w:t>
            </w:r>
            <w:r>
              <w:rPr>
                <w:rFonts w:hint="eastAsia" w:ascii="宋体" w:hAnsi="宋体"/>
                <w:color w:val="auto"/>
              </w:rPr>
              <w:t>→</w:t>
            </w:r>
            <w:r>
              <w:rPr>
                <w:rFonts w:hint="eastAsia"/>
                <w:color w:val="auto"/>
              </w:rPr>
              <w:t>混凝沉淀</w:t>
            </w:r>
            <w:r>
              <w:rPr>
                <w:rFonts w:hint="eastAsia" w:ascii="宋体" w:hAnsi="宋体"/>
                <w:color w:val="auto"/>
              </w:rPr>
              <w:t>→</w:t>
            </w:r>
            <w:r>
              <w:rPr>
                <w:rFonts w:hint="eastAsia"/>
                <w:color w:val="auto"/>
              </w:rPr>
              <w:t>超滤/微滤</w:t>
            </w:r>
            <w:r>
              <w:rPr>
                <w:rFonts w:hint="eastAsia" w:ascii="宋体" w:hAnsi="宋体"/>
                <w:color w:val="auto"/>
              </w:rPr>
              <w:t>→</w:t>
            </w:r>
            <w:r>
              <w:rPr>
                <w:rFonts w:hint="eastAsia"/>
                <w:color w:val="auto"/>
              </w:rPr>
              <w:t>纳滤/反渗透</w:t>
            </w:r>
          </w:p>
        </w:tc>
        <w:tc>
          <w:tcPr>
            <w:tcW w:w="438" w:type="pct"/>
          </w:tcPr>
          <w:p w14:paraId="4EE9DB2C">
            <w:pPr>
              <w:pStyle w:val="2"/>
              <w:spacing w:line="240" w:lineRule="auto"/>
              <w:jc w:val="center"/>
              <w:rPr>
                <w:color w:val="auto"/>
              </w:rPr>
            </w:pPr>
          </w:p>
        </w:tc>
        <w:tc>
          <w:tcPr>
            <w:tcW w:w="453" w:type="pct"/>
          </w:tcPr>
          <w:p w14:paraId="3BF0F9D1">
            <w:pPr>
              <w:pStyle w:val="2"/>
              <w:spacing w:line="240" w:lineRule="auto"/>
              <w:jc w:val="center"/>
              <w:rPr>
                <w:rFonts w:hint="eastAsia" w:ascii="宋体" w:hAnsi="宋体"/>
                <w:color w:val="auto"/>
              </w:rPr>
            </w:pPr>
          </w:p>
        </w:tc>
        <w:tc>
          <w:tcPr>
            <w:tcW w:w="453" w:type="pct"/>
          </w:tcPr>
          <w:p w14:paraId="59358F6C">
            <w:pPr>
              <w:pStyle w:val="2"/>
              <w:spacing w:line="240" w:lineRule="auto"/>
              <w:jc w:val="center"/>
              <w:rPr>
                <w:color w:val="auto"/>
              </w:rPr>
            </w:pPr>
            <w:r>
              <w:rPr>
                <w:rFonts w:hint="eastAsia" w:ascii="宋体" w:hAnsi="宋体"/>
                <w:color w:val="auto"/>
              </w:rPr>
              <w:t>●</w:t>
            </w:r>
          </w:p>
        </w:tc>
        <w:tc>
          <w:tcPr>
            <w:tcW w:w="421" w:type="pct"/>
          </w:tcPr>
          <w:p w14:paraId="676F3008">
            <w:pPr>
              <w:pStyle w:val="2"/>
              <w:spacing w:line="240" w:lineRule="auto"/>
              <w:jc w:val="center"/>
              <w:rPr>
                <w:color w:val="auto"/>
              </w:rPr>
            </w:pPr>
            <w:r>
              <w:rPr>
                <w:rFonts w:hint="eastAsia" w:ascii="宋体" w:hAnsi="宋体"/>
                <w:color w:val="auto"/>
              </w:rPr>
              <w:t>●</w:t>
            </w:r>
          </w:p>
        </w:tc>
        <w:tc>
          <w:tcPr>
            <w:tcW w:w="435" w:type="pct"/>
          </w:tcPr>
          <w:p w14:paraId="2FE84C7B">
            <w:pPr>
              <w:pStyle w:val="2"/>
              <w:spacing w:line="240" w:lineRule="auto"/>
              <w:jc w:val="center"/>
              <w:rPr>
                <w:color w:val="auto"/>
              </w:rPr>
            </w:pPr>
            <w:r>
              <w:rPr>
                <w:rFonts w:hint="eastAsia" w:ascii="宋体" w:hAnsi="宋体"/>
                <w:color w:val="auto"/>
              </w:rPr>
              <w:t>●</w:t>
            </w:r>
          </w:p>
        </w:tc>
      </w:tr>
      <w:tr w14:paraId="3AC6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8" w:type="pct"/>
          </w:tcPr>
          <w:p w14:paraId="4348FF39">
            <w:pPr>
              <w:pStyle w:val="2"/>
              <w:spacing w:line="240" w:lineRule="auto"/>
              <w:jc w:val="left"/>
              <w:rPr>
                <w:color w:val="auto"/>
              </w:rPr>
            </w:pPr>
            <w:r>
              <w:rPr>
                <w:rFonts w:hint="eastAsia"/>
                <w:color w:val="auto"/>
              </w:rPr>
              <w:t>进水</w:t>
            </w:r>
            <w:r>
              <w:rPr>
                <w:rFonts w:hint="eastAsia" w:ascii="宋体" w:hAnsi="宋体"/>
                <w:color w:val="auto"/>
              </w:rPr>
              <w:t>→</w:t>
            </w:r>
            <w:r>
              <w:rPr>
                <w:rFonts w:hint="eastAsia"/>
                <w:color w:val="auto"/>
              </w:rPr>
              <w:t>超滤/微滤</w:t>
            </w:r>
            <w:r>
              <w:rPr>
                <w:rFonts w:hint="eastAsia" w:ascii="宋体" w:hAnsi="宋体"/>
                <w:color w:val="auto"/>
              </w:rPr>
              <w:t>→</w:t>
            </w:r>
            <w:r>
              <w:rPr>
                <w:rFonts w:hint="eastAsia"/>
                <w:color w:val="auto"/>
              </w:rPr>
              <w:t>纳滤/反渗透</w:t>
            </w:r>
            <w:r>
              <w:rPr>
                <w:rFonts w:hint="eastAsia" w:ascii="宋体" w:hAnsi="宋体"/>
                <w:color w:val="auto"/>
              </w:rPr>
              <w:t>→</w:t>
            </w:r>
            <w:r>
              <w:rPr>
                <w:rFonts w:hint="eastAsia"/>
                <w:color w:val="auto"/>
              </w:rPr>
              <w:t>超纯水制备单元</w:t>
            </w:r>
          </w:p>
        </w:tc>
        <w:tc>
          <w:tcPr>
            <w:tcW w:w="438" w:type="pct"/>
          </w:tcPr>
          <w:p w14:paraId="073C8FF4">
            <w:pPr>
              <w:pStyle w:val="2"/>
              <w:spacing w:line="240" w:lineRule="auto"/>
              <w:jc w:val="center"/>
              <w:rPr>
                <w:rFonts w:ascii="宋体" w:hAnsi="宋体"/>
                <w:color w:val="auto"/>
              </w:rPr>
            </w:pPr>
          </w:p>
        </w:tc>
        <w:tc>
          <w:tcPr>
            <w:tcW w:w="453" w:type="pct"/>
          </w:tcPr>
          <w:p w14:paraId="33B5D3AC">
            <w:pPr>
              <w:pStyle w:val="2"/>
              <w:spacing w:line="240" w:lineRule="auto"/>
              <w:jc w:val="center"/>
              <w:rPr>
                <w:rFonts w:ascii="宋体" w:hAnsi="宋体"/>
                <w:color w:val="auto"/>
              </w:rPr>
            </w:pPr>
          </w:p>
        </w:tc>
        <w:tc>
          <w:tcPr>
            <w:tcW w:w="453" w:type="pct"/>
          </w:tcPr>
          <w:p w14:paraId="3E795BE6">
            <w:pPr>
              <w:pStyle w:val="2"/>
              <w:spacing w:line="240" w:lineRule="auto"/>
              <w:jc w:val="center"/>
              <w:rPr>
                <w:rFonts w:ascii="宋体" w:hAnsi="宋体"/>
                <w:color w:val="auto"/>
              </w:rPr>
            </w:pPr>
          </w:p>
        </w:tc>
        <w:tc>
          <w:tcPr>
            <w:tcW w:w="421" w:type="pct"/>
          </w:tcPr>
          <w:p w14:paraId="3C70177D">
            <w:pPr>
              <w:pStyle w:val="2"/>
              <w:spacing w:line="240" w:lineRule="auto"/>
              <w:jc w:val="center"/>
              <w:rPr>
                <w:color w:val="auto"/>
              </w:rPr>
            </w:pPr>
          </w:p>
        </w:tc>
        <w:tc>
          <w:tcPr>
            <w:tcW w:w="435" w:type="pct"/>
          </w:tcPr>
          <w:p w14:paraId="0AF825F0">
            <w:pPr>
              <w:pStyle w:val="2"/>
              <w:spacing w:line="240" w:lineRule="auto"/>
              <w:jc w:val="center"/>
              <w:rPr>
                <w:color w:val="auto"/>
              </w:rPr>
            </w:pPr>
          </w:p>
        </w:tc>
      </w:tr>
      <w:tr w14:paraId="40299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8" w:type="pct"/>
          </w:tcPr>
          <w:p w14:paraId="68BC540E">
            <w:pPr>
              <w:pStyle w:val="2"/>
              <w:spacing w:line="240" w:lineRule="auto"/>
              <w:jc w:val="left"/>
              <w:rPr>
                <w:color w:val="auto"/>
              </w:rPr>
            </w:pPr>
            <w:r>
              <w:rPr>
                <w:rFonts w:hint="eastAsia"/>
                <w:color w:val="auto"/>
              </w:rPr>
              <w:t>进水</w:t>
            </w:r>
            <w:r>
              <w:rPr>
                <w:rFonts w:hint="eastAsia" w:ascii="宋体" w:hAnsi="宋体"/>
                <w:color w:val="auto"/>
              </w:rPr>
              <w:t>→</w:t>
            </w:r>
            <w:r>
              <w:rPr>
                <w:rFonts w:hint="eastAsia"/>
                <w:color w:val="auto"/>
              </w:rPr>
              <w:t>混凝沉淀</w:t>
            </w:r>
            <w:r>
              <w:rPr>
                <w:rFonts w:hint="eastAsia" w:ascii="宋体" w:hAnsi="宋体"/>
                <w:color w:val="auto"/>
              </w:rPr>
              <w:t>→</w:t>
            </w:r>
            <w:r>
              <w:rPr>
                <w:rFonts w:hint="eastAsia"/>
                <w:color w:val="auto"/>
              </w:rPr>
              <w:t>超滤/微滤</w:t>
            </w:r>
            <w:r>
              <w:rPr>
                <w:rFonts w:hint="eastAsia" w:ascii="宋体" w:hAnsi="宋体"/>
                <w:color w:val="auto"/>
              </w:rPr>
              <w:t>→</w:t>
            </w:r>
            <w:r>
              <w:rPr>
                <w:rFonts w:hint="eastAsia"/>
                <w:color w:val="auto"/>
              </w:rPr>
              <w:t>纳滤/反渗透</w:t>
            </w:r>
            <w:r>
              <w:rPr>
                <w:rFonts w:hint="eastAsia" w:ascii="宋体" w:hAnsi="宋体"/>
                <w:color w:val="auto"/>
              </w:rPr>
              <w:t>→</w:t>
            </w:r>
            <w:r>
              <w:rPr>
                <w:rFonts w:hint="eastAsia"/>
                <w:color w:val="auto"/>
              </w:rPr>
              <w:t>超纯水制备单元</w:t>
            </w:r>
          </w:p>
        </w:tc>
        <w:tc>
          <w:tcPr>
            <w:tcW w:w="438" w:type="pct"/>
          </w:tcPr>
          <w:p w14:paraId="1C727077">
            <w:pPr>
              <w:pStyle w:val="2"/>
              <w:spacing w:line="240" w:lineRule="auto"/>
              <w:jc w:val="center"/>
              <w:rPr>
                <w:color w:val="auto"/>
              </w:rPr>
            </w:pPr>
          </w:p>
        </w:tc>
        <w:tc>
          <w:tcPr>
            <w:tcW w:w="453" w:type="pct"/>
          </w:tcPr>
          <w:p w14:paraId="78585361">
            <w:pPr>
              <w:pStyle w:val="2"/>
              <w:spacing w:line="240" w:lineRule="auto"/>
              <w:jc w:val="center"/>
              <w:rPr>
                <w:color w:val="auto"/>
              </w:rPr>
            </w:pPr>
          </w:p>
        </w:tc>
        <w:tc>
          <w:tcPr>
            <w:tcW w:w="453" w:type="pct"/>
          </w:tcPr>
          <w:p w14:paraId="15A92FC7">
            <w:pPr>
              <w:pStyle w:val="2"/>
              <w:spacing w:line="240" w:lineRule="auto"/>
              <w:jc w:val="center"/>
              <w:rPr>
                <w:color w:val="auto"/>
              </w:rPr>
            </w:pPr>
          </w:p>
        </w:tc>
        <w:tc>
          <w:tcPr>
            <w:tcW w:w="421" w:type="pct"/>
          </w:tcPr>
          <w:p w14:paraId="5C44771B">
            <w:pPr>
              <w:pStyle w:val="2"/>
              <w:spacing w:line="240" w:lineRule="auto"/>
              <w:jc w:val="center"/>
              <w:rPr>
                <w:color w:val="auto"/>
              </w:rPr>
            </w:pPr>
          </w:p>
        </w:tc>
        <w:tc>
          <w:tcPr>
            <w:tcW w:w="435" w:type="pct"/>
          </w:tcPr>
          <w:p w14:paraId="624E204A">
            <w:pPr>
              <w:pStyle w:val="2"/>
              <w:spacing w:line="240" w:lineRule="auto"/>
              <w:jc w:val="center"/>
              <w:rPr>
                <w:color w:val="auto"/>
              </w:rPr>
            </w:pPr>
          </w:p>
        </w:tc>
      </w:tr>
    </w:tbl>
    <w:p w14:paraId="6703B7D0">
      <w:pPr>
        <w:pStyle w:val="105"/>
        <w:ind w:firstLine="0" w:firstLineChars="0"/>
        <w:rPr>
          <w:bCs/>
        </w:rPr>
      </w:pPr>
    </w:p>
    <w:p w14:paraId="7F52F290">
      <w:pPr>
        <w:pStyle w:val="105"/>
        <w:ind w:firstLine="0" w:firstLineChars="0"/>
        <w:jc w:val="center"/>
      </w:pPr>
      <w:r>
        <w:rPr>
          <w:rFonts w:hint="eastAsia"/>
          <w:bCs/>
        </w:rPr>
        <w:t>_</w:t>
      </w:r>
      <w:r>
        <w:rPr>
          <w:bCs/>
        </w:rPr>
        <w:t>______________________</w:t>
      </w:r>
    </w:p>
    <w:p w14:paraId="3D35CC62"/>
    <w:p w14:paraId="45B3B5EE"/>
    <w:p w14:paraId="066A6987"/>
    <w:p w14:paraId="180B472E"/>
    <w:p w14:paraId="039841FA"/>
    <w:p w14:paraId="4D7A6D2F"/>
    <w:p w14:paraId="5638E63C"/>
    <w:p w14:paraId="21EEC119"/>
    <w:p w14:paraId="60236C4A"/>
    <w:p w14:paraId="6158AAB9"/>
    <w:p w14:paraId="08BA14C1"/>
    <w:p w14:paraId="1AC7A903"/>
    <w:p w14:paraId="5A57B118">
      <w:pPr>
        <w:jc w:val="center"/>
      </w:pPr>
    </w:p>
    <w:p w14:paraId="1DA52CBE"/>
    <w:p w14:paraId="56B571F3"/>
    <w:p w14:paraId="4F6169CA"/>
    <w:p w14:paraId="1BDF8C11"/>
    <w:p w14:paraId="64644DC0"/>
    <w:p w14:paraId="7D9029CA"/>
    <w:p w14:paraId="53675CFB"/>
    <w:p w14:paraId="32707512">
      <w:pPr>
        <w:tabs>
          <w:tab w:val="left" w:pos="1739"/>
        </w:tabs>
      </w:pPr>
      <w:r>
        <w:tab/>
      </w:r>
    </w:p>
    <w:sectPr>
      <w:headerReference r:id="rId11" w:type="default"/>
      <w:footerReference r:id="rId12" w:type="default"/>
      <w:pgSz w:w="11907" w:h="16839"/>
      <w:pgMar w:top="1418" w:right="1247" w:bottom="1134" w:left="1418" w:header="1418"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9A7A814-F79A-4483-8985-813A121AC502}"/>
  </w:font>
  <w:font w:name="黑体">
    <w:panose1 w:val="02010609060101010101"/>
    <w:charset w:val="86"/>
    <w:family w:val="auto"/>
    <w:pitch w:val="default"/>
    <w:sig w:usb0="800002BF" w:usb1="38CF7CFA" w:usb2="00000016" w:usb3="00000000" w:csb0="00040001" w:csb1="00000000"/>
    <w:embedRegular r:id="rId2" w:fontKey="{1B44D790-B5CD-43CD-B227-522D63AACF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embedRegular r:id="rId3" w:fontKey="{46C9F441-314F-4BD8-B457-AB5FFE178F3B}"/>
  </w:font>
  <w:font w:name="Wingdings 2">
    <w:panose1 w:val="05020102010507070707"/>
    <w:charset w:val="02"/>
    <w:family w:val="roman"/>
    <w:pitch w:val="default"/>
    <w:sig w:usb0="00000000" w:usb1="00000000" w:usb2="00000000" w:usb3="00000000" w:csb0="80000000" w:csb1="00000000"/>
    <w:embedRegular r:id="rId4" w:fontKey="{1E6EA9EE-1F90-45B5-AA79-59AB55D65B8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43B42">
    <w:pPr>
      <w:pStyle w:val="99"/>
      <w:rPr>
        <w:rStyle w:val="78"/>
      </w:rPr>
    </w:pPr>
    <w:r>
      <w:rPr>
        <w:rStyle w:val="78"/>
      </w:rPr>
      <w:fldChar w:fldCharType="begin"/>
    </w:r>
    <w:r>
      <w:rPr>
        <w:rStyle w:val="78"/>
      </w:rPr>
      <w:instrText xml:space="preserve">PAGE  </w:instrText>
    </w:r>
    <w:r>
      <w:rPr>
        <w:rStyle w:val="78"/>
      </w:rPr>
      <w:fldChar w:fldCharType="separate"/>
    </w:r>
    <w:r>
      <w:rPr>
        <w:rStyle w:val="78"/>
      </w:rPr>
      <w:t>1</w:t>
    </w:r>
    <w:r>
      <w:rPr>
        <w:rStyle w:val="7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254A5">
    <w:pPr>
      <w:pStyle w:val="49"/>
      <w:framePr w:wrap="around" w:vAnchor="text" w:hAnchor="margin" w:xAlign="right" w:y="1"/>
      <w:rPr>
        <w:rStyle w:val="78"/>
      </w:rPr>
    </w:pPr>
    <w:r>
      <w:rPr>
        <w:rStyle w:val="78"/>
      </w:rPr>
      <w:fldChar w:fldCharType="begin"/>
    </w:r>
    <w:r>
      <w:rPr>
        <w:rStyle w:val="78"/>
      </w:rPr>
      <w:instrText xml:space="preserve">PAGE  </w:instrText>
    </w:r>
    <w:r>
      <w:rPr>
        <w:rStyle w:val="78"/>
      </w:rPr>
      <w:fldChar w:fldCharType="separate"/>
    </w:r>
    <w:r>
      <w:rPr>
        <w:rStyle w:val="78"/>
      </w:rPr>
      <w:t>2</w:t>
    </w:r>
    <w:r>
      <w:rPr>
        <w:rStyle w:val="78"/>
      </w:rPr>
      <w:fldChar w:fldCharType="end"/>
    </w:r>
  </w:p>
  <w:p w14:paraId="41A4A5F2">
    <w:pPr>
      <w:pStyle w:val="4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A4F0E">
    <w:pPr>
      <w:pStyle w:val="99"/>
      <w:jc w:val="center"/>
      <w:rPr>
        <w:rStyle w:val="78"/>
      </w:rPr>
    </w:pPr>
    <w:r>
      <w:rPr>
        <w:rStyle w:val="78"/>
      </w:rPr>
      <w:fldChar w:fldCharType="begin"/>
    </w:r>
    <w:r>
      <w:rPr>
        <w:rStyle w:val="78"/>
      </w:rPr>
      <w:instrText xml:space="preserve">PAGE  </w:instrText>
    </w:r>
    <w:r>
      <w:rPr>
        <w:rStyle w:val="78"/>
      </w:rPr>
      <w:fldChar w:fldCharType="separate"/>
    </w:r>
    <w:r>
      <w:rPr>
        <w:rStyle w:val="78"/>
      </w:rPr>
      <w:t>III</w:t>
    </w:r>
    <w:r>
      <w:rPr>
        <w:rStyle w:val="7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AF673">
    <w:pPr>
      <w:pStyle w:val="49"/>
      <w:ind w:left="840" w:hanging="420"/>
      <w:jc w:val="center"/>
      <w:rPr>
        <w:rFonts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04A292">
                          <w:pPr>
                            <w:pStyle w:val="4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6E04A292">
                    <w:pPr>
                      <w:pStyle w:val="49"/>
                    </w:pPr>
                    <w:r>
                      <w:fldChar w:fldCharType="begin"/>
                    </w:r>
                    <w:r>
                      <w:instrText xml:space="preserve"> PAGE  \* MERGEFORMAT </w:instrText>
                    </w:r>
                    <w:r>
                      <w:fldChar w:fldCharType="separate"/>
                    </w:r>
                    <w:r>
                      <w:t>5</w:t>
                    </w:r>
                    <w:r>
                      <w:fldChar w:fldCharType="end"/>
                    </w:r>
                  </w:p>
                </w:txbxContent>
              </v:textbox>
            </v:shape>
          </w:pict>
        </mc:Fallback>
      </mc:AlternateContent>
    </w:r>
  </w:p>
  <w:p w14:paraId="30CF5C42">
    <w:pPr>
      <w:pStyle w:val="99"/>
      <w:jc w:val="center"/>
      <w:rPr>
        <w:rStyle w:val="7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A9620">
    <w:pPr>
      <w:pStyle w:val="49"/>
      <w:ind w:left="840" w:hanging="420"/>
      <w:jc w:val="center"/>
      <w:rPr>
        <w:rFonts w:ascii="宋体" w:hAnsi="宋体"/>
      </w:rPr>
    </w:pPr>
  </w:p>
  <w:p w14:paraId="5019733F">
    <w:pPr>
      <w:pStyle w:val="99"/>
      <w:jc w:val="center"/>
      <w:rPr>
        <w:rStyle w:val="7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5D39D">
    <w:pPr>
      <w:pStyle w:val="100"/>
    </w:pPr>
    <w:r>
      <w:t>DB13/T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8E63F">
    <w:pPr>
      <w:pStyle w:val="102"/>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C9A2B">
    <w:pPr>
      <w:pStyle w:val="100"/>
      <w:wordWrap w:val="0"/>
      <w:rPr>
        <w:rFonts w:hint="eastAsia" w:asciiTheme="minorEastAsia" w:hAnsiTheme="minorEastAsia" w:eastAsiaTheme="minorEastAsia"/>
        <w:lang w:eastAsia="zh-CN"/>
      </w:rPr>
    </w:pPr>
    <w:r>
      <w:rPr>
        <w:rFonts w:asciiTheme="minorEastAsia" w:hAnsiTheme="minorEastAsia" w:eastAsiaTheme="minorEastAsia"/>
      </w:rPr>
      <w:t>DB13/T   —202</w:t>
    </w:r>
    <w:r>
      <w:rPr>
        <w:rFonts w:hint="eastAsia" w:asciiTheme="minorEastAsia" w:hAnsiTheme="minorEastAsia" w:eastAsiaTheme="minorEastAsia"/>
        <w:lang w:val="en-US" w:eastAsia="zh-CN"/>
      </w:rPr>
      <w:t>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9D12A">
    <w:pPr>
      <w:pStyle w:val="100"/>
      <w:wordWrap w:val="0"/>
      <w:rPr>
        <w:rFonts w:asciiTheme="minorEastAsia" w:hAnsiTheme="minorEastAsia" w:eastAsiaTheme="minorEastAsia"/>
      </w:rPr>
    </w:pPr>
    <w:r>
      <w:rPr>
        <w:rFonts w:asciiTheme="minorEastAsia" w:hAnsiTheme="minorEastAsia" w:eastAsiaTheme="minorEastAsia"/>
      </w:rPr>
      <w:t>DB13/T   —2023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A1A90">
    <w:pPr>
      <w:pStyle w:val="5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7"/>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55"/>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3"/>
      <w:lvlText w:val="%1."/>
      <w:lvlJc w:val="left"/>
      <w:pPr>
        <w:tabs>
          <w:tab w:val="left" w:pos="1200"/>
        </w:tabs>
        <w:ind w:left="1200" w:hanging="360"/>
      </w:pPr>
    </w:lvl>
  </w:abstractNum>
  <w:abstractNum w:abstractNumId="3">
    <w:nsid w:val="FFFFFF7F"/>
    <w:multiLevelType w:val="singleLevel"/>
    <w:tmpl w:val="FFFFFF7F"/>
    <w:lvl w:ilvl="0" w:tentative="0">
      <w:start w:val="1"/>
      <w:numFmt w:val="decimal"/>
      <w:pStyle w:val="35"/>
      <w:lvlText w:val="%1."/>
      <w:lvlJc w:val="left"/>
      <w:pPr>
        <w:tabs>
          <w:tab w:val="left" w:pos="780"/>
        </w:tabs>
        <w:ind w:left="780" w:hanging="360"/>
      </w:pPr>
    </w:lvl>
  </w:abstractNum>
  <w:abstractNum w:abstractNumId="4">
    <w:nsid w:val="FFFFFF80"/>
    <w:multiLevelType w:val="singleLevel"/>
    <w:tmpl w:val="FFFFFF80"/>
    <w:lvl w:ilvl="0" w:tentative="0">
      <w:start w:val="1"/>
      <w:numFmt w:val="bullet"/>
      <w:pStyle w:val="66"/>
      <w:lvlText w:val=""/>
      <w:lvlJc w:val="left"/>
      <w:pPr>
        <w:tabs>
          <w:tab w:val="left" w:pos="2040"/>
        </w:tabs>
        <w:ind w:left="2040" w:hanging="360"/>
      </w:pPr>
      <w:rPr>
        <w:rFonts w:hint="default" w:ascii="Wingdings" w:hAnsi="Wingdings"/>
      </w:rPr>
    </w:lvl>
  </w:abstractNum>
  <w:abstractNum w:abstractNumId="5">
    <w:nsid w:val="FFFFFF81"/>
    <w:multiLevelType w:val="singleLevel"/>
    <w:tmpl w:val="FFFFFF81"/>
    <w:lvl w:ilvl="0" w:tentative="0">
      <w:start w:val="1"/>
      <w:numFmt w:val="bullet"/>
      <w:pStyle w:val="42"/>
      <w:lvlText w:val=""/>
      <w:lvlJc w:val="left"/>
      <w:pPr>
        <w:tabs>
          <w:tab w:val="left" w:pos="1620"/>
        </w:tabs>
        <w:ind w:left="1620" w:hanging="360"/>
      </w:pPr>
      <w:rPr>
        <w:rFonts w:hint="default" w:ascii="Wingdings" w:hAnsi="Wingdings"/>
      </w:rPr>
    </w:lvl>
  </w:abstractNum>
  <w:abstractNum w:abstractNumId="6">
    <w:nsid w:val="FFFFFF82"/>
    <w:multiLevelType w:val="singleLevel"/>
    <w:tmpl w:val="FFFFFF82"/>
    <w:lvl w:ilvl="0" w:tentative="0">
      <w:start w:val="1"/>
      <w:numFmt w:val="bullet"/>
      <w:pStyle w:val="22"/>
      <w:lvlText w:val=""/>
      <w:lvlJc w:val="left"/>
      <w:pPr>
        <w:tabs>
          <w:tab w:val="left" w:pos="1200"/>
        </w:tabs>
        <w:ind w:left="1200" w:hanging="360"/>
      </w:pPr>
      <w:rPr>
        <w:rFonts w:hint="default" w:ascii="Wingdings" w:hAnsi="Wingdings"/>
      </w:rPr>
    </w:lvl>
  </w:abstractNum>
  <w:abstractNum w:abstractNumId="7">
    <w:nsid w:val="FFFFFF83"/>
    <w:multiLevelType w:val="singleLevel"/>
    <w:tmpl w:val="FFFFFF83"/>
    <w:lvl w:ilvl="0" w:tentative="0">
      <w:start w:val="1"/>
      <w:numFmt w:val="bullet"/>
      <w:pStyle w:val="33"/>
      <w:lvlText w:val=""/>
      <w:lvlJc w:val="left"/>
      <w:pPr>
        <w:tabs>
          <w:tab w:val="left" w:pos="780"/>
        </w:tabs>
        <w:ind w:left="780" w:hanging="360"/>
      </w:pPr>
      <w:rPr>
        <w:rFonts w:hint="default" w:ascii="Wingdings" w:hAnsi="Wingdings"/>
      </w:rPr>
    </w:lvl>
  </w:abstractNum>
  <w:abstractNum w:abstractNumId="8">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9"/>
      <w:lvlText w:val=""/>
      <w:lvlJc w:val="left"/>
      <w:pPr>
        <w:tabs>
          <w:tab w:val="left" w:pos="360"/>
        </w:tabs>
        <w:ind w:left="360" w:hanging="360"/>
      </w:pPr>
      <w:rPr>
        <w:rFonts w:hint="default" w:ascii="Wingdings" w:hAnsi="Wingdings"/>
      </w:rPr>
    </w:lvl>
  </w:abstractNum>
  <w:abstractNum w:abstractNumId="10">
    <w:nsid w:val="0AE367E9"/>
    <w:multiLevelType w:val="multilevel"/>
    <w:tmpl w:val="0AE367E9"/>
    <w:lvl w:ilvl="0" w:tentative="0">
      <w:start w:val="1"/>
      <w:numFmt w:val="none"/>
      <w:pStyle w:val="141"/>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407E65F9"/>
    <w:multiLevelType w:val="multilevel"/>
    <w:tmpl w:val="407E65F9"/>
    <w:lvl w:ilvl="0" w:tentative="0">
      <w:start w:val="1"/>
      <w:numFmt w:val="none"/>
      <w:pStyle w:val="26"/>
      <w:lvlText w:val="%1●　"/>
      <w:lvlJc w:val="left"/>
      <w:pPr>
        <w:tabs>
          <w:tab w:val="left" w:pos="560"/>
        </w:tabs>
        <w:ind w:left="517" w:hanging="317"/>
      </w:pPr>
      <w:rPr>
        <w:rFonts w:hint="eastAsia" w:ascii="宋体" w:hAnsi="Times New Roman" w:eastAsia="宋体"/>
        <w:b w:val="0"/>
        <w:i w:val="0"/>
        <w:sz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46806F7D"/>
    <w:multiLevelType w:val="multilevel"/>
    <w:tmpl w:val="46806F7D"/>
    <w:lvl w:ilvl="0" w:tentative="0">
      <w:start w:val="1"/>
      <w:numFmt w:val="none"/>
      <w:pStyle w:val="129"/>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6D22D8F"/>
    <w:multiLevelType w:val="multilevel"/>
    <w:tmpl w:val="46D22D8F"/>
    <w:lvl w:ilvl="0" w:tentative="0">
      <w:start w:val="1"/>
      <w:numFmt w:val="none"/>
      <w:pStyle w:val="153"/>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496E4D7B"/>
    <w:multiLevelType w:val="multilevel"/>
    <w:tmpl w:val="496E4D7B"/>
    <w:lvl w:ilvl="0" w:tentative="0">
      <w:start w:val="1"/>
      <w:numFmt w:val="none"/>
      <w:pStyle w:val="151"/>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4F302902"/>
    <w:multiLevelType w:val="multilevel"/>
    <w:tmpl w:val="4F302902"/>
    <w:lvl w:ilvl="0" w:tentative="0">
      <w:start w:val="1"/>
      <w:numFmt w:val="none"/>
      <w:pStyle w:val="123"/>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557C2AF5"/>
    <w:multiLevelType w:val="multilevel"/>
    <w:tmpl w:val="557C2AF5"/>
    <w:lvl w:ilvl="0" w:tentative="0">
      <w:start w:val="1"/>
      <w:numFmt w:val="decimal"/>
      <w:pStyle w:val="14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7">
    <w:nsid w:val="6350366A"/>
    <w:multiLevelType w:val="multilevel"/>
    <w:tmpl w:val="6350366A"/>
    <w:lvl w:ilvl="0" w:tentative="0">
      <w:start w:val="1"/>
      <w:numFmt w:val="none"/>
      <w:pStyle w:val="134"/>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646260FA"/>
    <w:multiLevelType w:val="multilevel"/>
    <w:tmpl w:val="646260FA"/>
    <w:lvl w:ilvl="0" w:tentative="0">
      <w:start w:val="1"/>
      <w:numFmt w:val="decimal"/>
      <w:pStyle w:val="14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9">
    <w:nsid w:val="657D3FBC"/>
    <w:multiLevelType w:val="multilevel"/>
    <w:tmpl w:val="657D3FBC"/>
    <w:lvl w:ilvl="0" w:tentative="0">
      <w:start w:val="1"/>
      <w:numFmt w:val="upperLetter"/>
      <w:pStyle w:val="122"/>
      <w:suff w:val="nothing"/>
      <w:lvlText w:val="附　录　%1"/>
      <w:lvlJc w:val="left"/>
      <w:pPr>
        <w:ind w:left="0" w:firstLine="0"/>
      </w:pPr>
      <w:rPr>
        <w:rFonts w:hint="eastAsia" w:ascii="黑体" w:hAnsi="Times New Roman" w:eastAsia="黑体"/>
        <w:b w:val="0"/>
        <w:i w:val="0"/>
        <w:sz w:val="24"/>
        <w:szCs w:val="24"/>
      </w:rPr>
    </w:lvl>
    <w:lvl w:ilvl="1" w:tentative="0">
      <w:start w:val="1"/>
      <w:numFmt w:val="decimal"/>
      <w:pStyle w:val="12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pStyle w:val="13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0">
    <w:nsid w:val="6CEA2025"/>
    <w:multiLevelType w:val="multilevel"/>
    <w:tmpl w:val="6CEA2025"/>
    <w:lvl w:ilvl="0" w:tentative="0">
      <w:start w:val="1"/>
      <w:numFmt w:val="none"/>
      <w:pStyle w:val="103"/>
      <w:suff w:val="nothing"/>
      <w:lvlText w:val="%1"/>
      <w:lvlJc w:val="left"/>
      <w:pPr>
        <w:ind w:left="0" w:firstLine="0"/>
      </w:pPr>
      <w:rPr>
        <w:rFonts w:hint="default" w:ascii="Times New Roman" w:hAnsi="Times New Roman"/>
        <w:b/>
        <w:i w:val="0"/>
        <w:sz w:val="21"/>
      </w:rPr>
    </w:lvl>
    <w:lvl w:ilvl="1" w:tentative="0">
      <w:start w:val="1"/>
      <w:numFmt w:val="decimal"/>
      <w:pStyle w:val="107"/>
      <w:suff w:val="nothing"/>
      <w:lvlText w:val="%1%2　"/>
      <w:lvlJc w:val="left"/>
      <w:pPr>
        <w:ind w:left="315" w:firstLine="0"/>
      </w:pPr>
      <w:rPr>
        <w:rFonts w:hint="eastAsia" w:ascii="黑体" w:hAnsi="Times New Roman" w:eastAsia="黑体"/>
        <w:b w:val="0"/>
        <w:i w:val="0"/>
        <w:sz w:val="24"/>
        <w:szCs w:val="24"/>
      </w:rPr>
    </w:lvl>
    <w:lvl w:ilvl="2" w:tentative="0">
      <w:start w:val="1"/>
      <w:numFmt w:val="decimal"/>
      <w:pStyle w:val="108"/>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pStyle w:val="109"/>
      <w:suff w:val="nothing"/>
      <w:lvlText w:val="%1%2.%3.%4　"/>
      <w:lvlJc w:val="left"/>
      <w:pPr>
        <w:ind w:left="840" w:firstLine="0"/>
      </w:pPr>
      <w:rPr>
        <w:rFonts w:hint="default" w:ascii="Times New Roman" w:hAnsi="Times New Roman" w:eastAsia="黑体" w:cs="Times New Roman"/>
        <w:b w:val="0"/>
        <w:i w:val="0"/>
        <w:sz w:val="21"/>
      </w:rPr>
    </w:lvl>
    <w:lvl w:ilvl="4" w:tentative="0">
      <w:start w:val="1"/>
      <w:numFmt w:val="decimal"/>
      <w:pStyle w:val="139"/>
      <w:suff w:val="nothing"/>
      <w:lvlText w:val="%1%2.%3.%4.%5　"/>
      <w:lvlJc w:val="left"/>
      <w:pPr>
        <w:ind w:left="0" w:firstLine="0"/>
      </w:pPr>
      <w:rPr>
        <w:rFonts w:hint="eastAsia" w:ascii="黑体" w:hAnsi="Times New Roman" w:eastAsia="黑体"/>
        <w:b w:val="0"/>
        <w:i w:val="0"/>
        <w:sz w:val="21"/>
      </w:rPr>
    </w:lvl>
    <w:lvl w:ilvl="5" w:tentative="0">
      <w:start w:val="1"/>
      <w:numFmt w:val="decimal"/>
      <w:pStyle w:val="143"/>
      <w:suff w:val="nothing"/>
      <w:lvlText w:val="%1%2.%3.%4.%5.%6　"/>
      <w:lvlJc w:val="left"/>
      <w:pPr>
        <w:ind w:left="0" w:firstLine="0"/>
      </w:pPr>
      <w:rPr>
        <w:rFonts w:hint="eastAsia" w:ascii="黑体" w:hAnsi="Times New Roman" w:eastAsia="黑体"/>
        <w:b w:val="0"/>
        <w:i w:val="0"/>
        <w:sz w:val="21"/>
      </w:rPr>
    </w:lvl>
    <w:lvl w:ilvl="6" w:tentative="0">
      <w:start w:val="1"/>
      <w:numFmt w:val="decimal"/>
      <w:pStyle w:val="14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1">
    <w:nsid w:val="6DBF04F4"/>
    <w:multiLevelType w:val="multilevel"/>
    <w:tmpl w:val="6DBF04F4"/>
    <w:lvl w:ilvl="0" w:tentative="0">
      <w:start w:val="1"/>
      <w:numFmt w:val="none"/>
      <w:pStyle w:val="150"/>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76933334"/>
    <w:multiLevelType w:val="multilevel"/>
    <w:tmpl w:val="76933334"/>
    <w:lvl w:ilvl="0" w:tentative="0">
      <w:start w:val="1"/>
      <w:numFmt w:val="none"/>
      <w:pStyle w:val="133"/>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6"/>
  </w:num>
  <w:num w:numId="3">
    <w:abstractNumId w:val="11"/>
  </w:num>
  <w:num w:numId="4">
    <w:abstractNumId w:val="7"/>
  </w:num>
  <w:num w:numId="5">
    <w:abstractNumId w:val="3"/>
  </w:num>
  <w:num w:numId="6">
    <w:abstractNumId w:val="0"/>
  </w:num>
  <w:num w:numId="7">
    <w:abstractNumId w:val="9"/>
  </w:num>
  <w:num w:numId="8">
    <w:abstractNumId w:val="5"/>
  </w:num>
  <w:num w:numId="9">
    <w:abstractNumId w:val="2"/>
  </w:num>
  <w:num w:numId="10">
    <w:abstractNumId w:val="1"/>
  </w:num>
  <w:num w:numId="11">
    <w:abstractNumId w:val="4"/>
  </w:num>
  <w:num w:numId="12">
    <w:abstractNumId w:val="20"/>
  </w:num>
  <w:num w:numId="13">
    <w:abstractNumId w:val="19"/>
  </w:num>
  <w:num w:numId="14">
    <w:abstractNumId w:val="15"/>
  </w:num>
  <w:num w:numId="15">
    <w:abstractNumId w:val="12"/>
  </w:num>
  <w:num w:numId="16">
    <w:abstractNumId w:val="22"/>
  </w:num>
  <w:num w:numId="17">
    <w:abstractNumId w:val="17"/>
  </w:num>
  <w:num w:numId="18">
    <w:abstractNumId w:val="10"/>
  </w:num>
  <w:num w:numId="19">
    <w:abstractNumId w:val="18"/>
  </w:num>
  <w:num w:numId="20">
    <w:abstractNumId w:val="16"/>
  </w:num>
  <w:num w:numId="21">
    <w:abstractNumId w:val="21"/>
  </w:num>
  <w:num w:numId="22">
    <w:abstractNumId w:val="1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isplayHorizontalDrawingGridEvery w:val="1"/>
  <w:displayVerticalDrawingGridEvery w:val="1"/>
  <w:noPunctuationKerning w:val="1"/>
  <w:characterSpacingControl w:val="doNotCompress"/>
  <w:compat>
    <w:doNotLeaveBackslashAlon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RkM2VhYTRkOTAxYTM1NDdlNmIyYmQzNmNjNzJmOTcifQ=="/>
  </w:docVars>
  <w:rsids>
    <w:rsidRoot w:val="00350028"/>
    <w:rsid w:val="000015D9"/>
    <w:rsid w:val="000022D9"/>
    <w:rsid w:val="00003317"/>
    <w:rsid w:val="00003499"/>
    <w:rsid w:val="00004FBE"/>
    <w:rsid w:val="00005FCB"/>
    <w:rsid w:val="00006EF1"/>
    <w:rsid w:val="00007845"/>
    <w:rsid w:val="00007928"/>
    <w:rsid w:val="000079F4"/>
    <w:rsid w:val="00007D6F"/>
    <w:rsid w:val="00010099"/>
    <w:rsid w:val="0001019C"/>
    <w:rsid w:val="00011385"/>
    <w:rsid w:val="0001210B"/>
    <w:rsid w:val="0001321C"/>
    <w:rsid w:val="0001395D"/>
    <w:rsid w:val="000147B9"/>
    <w:rsid w:val="00016FC0"/>
    <w:rsid w:val="000178A0"/>
    <w:rsid w:val="00017D75"/>
    <w:rsid w:val="0002272D"/>
    <w:rsid w:val="00023F62"/>
    <w:rsid w:val="000245AB"/>
    <w:rsid w:val="00024AF2"/>
    <w:rsid w:val="00024BF4"/>
    <w:rsid w:val="000257D0"/>
    <w:rsid w:val="00026E5E"/>
    <w:rsid w:val="0003430B"/>
    <w:rsid w:val="000362DA"/>
    <w:rsid w:val="000369E1"/>
    <w:rsid w:val="0004098A"/>
    <w:rsid w:val="000411E8"/>
    <w:rsid w:val="000440BF"/>
    <w:rsid w:val="00044838"/>
    <w:rsid w:val="00044AD6"/>
    <w:rsid w:val="000512EF"/>
    <w:rsid w:val="00051FCB"/>
    <w:rsid w:val="0005217D"/>
    <w:rsid w:val="0005363E"/>
    <w:rsid w:val="00053A50"/>
    <w:rsid w:val="0005458E"/>
    <w:rsid w:val="00054892"/>
    <w:rsid w:val="00054940"/>
    <w:rsid w:val="00055552"/>
    <w:rsid w:val="00055AE5"/>
    <w:rsid w:val="000571C4"/>
    <w:rsid w:val="00057599"/>
    <w:rsid w:val="00057F91"/>
    <w:rsid w:val="00062346"/>
    <w:rsid w:val="00062394"/>
    <w:rsid w:val="00062A2C"/>
    <w:rsid w:val="0006398E"/>
    <w:rsid w:val="00065730"/>
    <w:rsid w:val="0006590C"/>
    <w:rsid w:val="000660F7"/>
    <w:rsid w:val="000667E4"/>
    <w:rsid w:val="00066821"/>
    <w:rsid w:val="00067507"/>
    <w:rsid w:val="00067ACD"/>
    <w:rsid w:val="00070A9D"/>
    <w:rsid w:val="000724AF"/>
    <w:rsid w:val="000724EC"/>
    <w:rsid w:val="00072F09"/>
    <w:rsid w:val="00075651"/>
    <w:rsid w:val="00075E08"/>
    <w:rsid w:val="0007616C"/>
    <w:rsid w:val="00077628"/>
    <w:rsid w:val="0007762F"/>
    <w:rsid w:val="000776F5"/>
    <w:rsid w:val="00077728"/>
    <w:rsid w:val="00080156"/>
    <w:rsid w:val="00083AD7"/>
    <w:rsid w:val="00083DDE"/>
    <w:rsid w:val="00084EFF"/>
    <w:rsid w:val="000854B8"/>
    <w:rsid w:val="00087910"/>
    <w:rsid w:val="00087FBD"/>
    <w:rsid w:val="0009025A"/>
    <w:rsid w:val="00091093"/>
    <w:rsid w:val="000921A8"/>
    <w:rsid w:val="000936E8"/>
    <w:rsid w:val="000939AB"/>
    <w:rsid w:val="00093A9C"/>
    <w:rsid w:val="00094C10"/>
    <w:rsid w:val="000961F6"/>
    <w:rsid w:val="000973D7"/>
    <w:rsid w:val="00097F3F"/>
    <w:rsid w:val="000A01F7"/>
    <w:rsid w:val="000A03F5"/>
    <w:rsid w:val="000A04C2"/>
    <w:rsid w:val="000A05BC"/>
    <w:rsid w:val="000A222C"/>
    <w:rsid w:val="000A3644"/>
    <w:rsid w:val="000A3766"/>
    <w:rsid w:val="000A3B7F"/>
    <w:rsid w:val="000A3EAD"/>
    <w:rsid w:val="000A488D"/>
    <w:rsid w:val="000A5C19"/>
    <w:rsid w:val="000A6AB6"/>
    <w:rsid w:val="000B011D"/>
    <w:rsid w:val="000B0327"/>
    <w:rsid w:val="000B04FC"/>
    <w:rsid w:val="000B14EA"/>
    <w:rsid w:val="000B23BB"/>
    <w:rsid w:val="000B2735"/>
    <w:rsid w:val="000B2D09"/>
    <w:rsid w:val="000B2FE9"/>
    <w:rsid w:val="000B6976"/>
    <w:rsid w:val="000B77AA"/>
    <w:rsid w:val="000C13F9"/>
    <w:rsid w:val="000C15EE"/>
    <w:rsid w:val="000C22C3"/>
    <w:rsid w:val="000C3390"/>
    <w:rsid w:val="000C5017"/>
    <w:rsid w:val="000C51AA"/>
    <w:rsid w:val="000C51F0"/>
    <w:rsid w:val="000C6D2F"/>
    <w:rsid w:val="000C7648"/>
    <w:rsid w:val="000D02CB"/>
    <w:rsid w:val="000D051A"/>
    <w:rsid w:val="000D06CB"/>
    <w:rsid w:val="000D0ABF"/>
    <w:rsid w:val="000D1709"/>
    <w:rsid w:val="000D281B"/>
    <w:rsid w:val="000D35F6"/>
    <w:rsid w:val="000D37F4"/>
    <w:rsid w:val="000D451C"/>
    <w:rsid w:val="000D51EA"/>
    <w:rsid w:val="000D56E2"/>
    <w:rsid w:val="000D5882"/>
    <w:rsid w:val="000D7176"/>
    <w:rsid w:val="000E0FD7"/>
    <w:rsid w:val="000E1046"/>
    <w:rsid w:val="000E10B3"/>
    <w:rsid w:val="000E13F4"/>
    <w:rsid w:val="000E21D6"/>
    <w:rsid w:val="000E223F"/>
    <w:rsid w:val="000E224D"/>
    <w:rsid w:val="000E2E37"/>
    <w:rsid w:val="000E4B5D"/>
    <w:rsid w:val="000E6AC4"/>
    <w:rsid w:val="000F0066"/>
    <w:rsid w:val="000F0228"/>
    <w:rsid w:val="000F03DE"/>
    <w:rsid w:val="000F0BE8"/>
    <w:rsid w:val="000F1F58"/>
    <w:rsid w:val="000F4D36"/>
    <w:rsid w:val="000F5481"/>
    <w:rsid w:val="000F5F8F"/>
    <w:rsid w:val="000F6509"/>
    <w:rsid w:val="001003F3"/>
    <w:rsid w:val="0010083C"/>
    <w:rsid w:val="001015E5"/>
    <w:rsid w:val="00101FD2"/>
    <w:rsid w:val="001026DB"/>
    <w:rsid w:val="00103A9D"/>
    <w:rsid w:val="00103C0C"/>
    <w:rsid w:val="00104921"/>
    <w:rsid w:val="00104C81"/>
    <w:rsid w:val="00104E71"/>
    <w:rsid w:val="00106676"/>
    <w:rsid w:val="00106767"/>
    <w:rsid w:val="00106AD8"/>
    <w:rsid w:val="0011029A"/>
    <w:rsid w:val="00110340"/>
    <w:rsid w:val="00110DF8"/>
    <w:rsid w:val="00111F76"/>
    <w:rsid w:val="0011254C"/>
    <w:rsid w:val="00113C79"/>
    <w:rsid w:val="0011475A"/>
    <w:rsid w:val="001148C6"/>
    <w:rsid w:val="0011621C"/>
    <w:rsid w:val="0012053D"/>
    <w:rsid w:val="00121704"/>
    <w:rsid w:val="00121BA4"/>
    <w:rsid w:val="00123222"/>
    <w:rsid w:val="00123B7F"/>
    <w:rsid w:val="00124214"/>
    <w:rsid w:val="00124225"/>
    <w:rsid w:val="00124BA3"/>
    <w:rsid w:val="0013286B"/>
    <w:rsid w:val="00133B32"/>
    <w:rsid w:val="00133BB0"/>
    <w:rsid w:val="00134B35"/>
    <w:rsid w:val="001352EA"/>
    <w:rsid w:val="001361EB"/>
    <w:rsid w:val="00136D8C"/>
    <w:rsid w:val="00136E9C"/>
    <w:rsid w:val="0014049A"/>
    <w:rsid w:val="00140AE5"/>
    <w:rsid w:val="001429E9"/>
    <w:rsid w:val="001439BF"/>
    <w:rsid w:val="00143AAE"/>
    <w:rsid w:val="00145C6B"/>
    <w:rsid w:val="00146B44"/>
    <w:rsid w:val="001525B4"/>
    <w:rsid w:val="001536CD"/>
    <w:rsid w:val="001542A6"/>
    <w:rsid w:val="00155F51"/>
    <w:rsid w:val="001562D0"/>
    <w:rsid w:val="001571DC"/>
    <w:rsid w:val="00157631"/>
    <w:rsid w:val="00157CDA"/>
    <w:rsid w:val="00157E75"/>
    <w:rsid w:val="00157F5B"/>
    <w:rsid w:val="00160488"/>
    <w:rsid w:val="00161051"/>
    <w:rsid w:val="00161334"/>
    <w:rsid w:val="00164E04"/>
    <w:rsid w:val="001663C8"/>
    <w:rsid w:val="00166630"/>
    <w:rsid w:val="00170590"/>
    <w:rsid w:val="00173EE9"/>
    <w:rsid w:val="00174892"/>
    <w:rsid w:val="00174E33"/>
    <w:rsid w:val="00174ECF"/>
    <w:rsid w:val="00175179"/>
    <w:rsid w:val="00175A5A"/>
    <w:rsid w:val="001767BD"/>
    <w:rsid w:val="00177814"/>
    <w:rsid w:val="0018176A"/>
    <w:rsid w:val="001817F6"/>
    <w:rsid w:val="00183DB7"/>
    <w:rsid w:val="00184A96"/>
    <w:rsid w:val="00185508"/>
    <w:rsid w:val="001866E1"/>
    <w:rsid w:val="001922F9"/>
    <w:rsid w:val="0019385C"/>
    <w:rsid w:val="00193F1B"/>
    <w:rsid w:val="00193FA1"/>
    <w:rsid w:val="00194112"/>
    <w:rsid w:val="00194561"/>
    <w:rsid w:val="00194CDF"/>
    <w:rsid w:val="00194E11"/>
    <w:rsid w:val="00195016"/>
    <w:rsid w:val="001967CC"/>
    <w:rsid w:val="001A030B"/>
    <w:rsid w:val="001A03F7"/>
    <w:rsid w:val="001A1FE9"/>
    <w:rsid w:val="001A2400"/>
    <w:rsid w:val="001A255D"/>
    <w:rsid w:val="001A3765"/>
    <w:rsid w:val="001A4B2C"/>
    <w:rsid w:val="001A4BB0"/>
    <w:rsid w:val="001B05AA"/>
    <w:rsid w:val="001B0643"/>
    <w:rsid w:val="001B245B"/>
    <w:rsid w:val="001B3FA0"/>
    <w:rsid w:val="001B425B"/>
    <w:rsid w:val="001B431B"/>
    <w:rsid w:val="001B4813"/>
    <w:rsid w:val="001B4F24"/>
    <w:rsid w:val="001B53BE"/>
    <w:rsid w:val="001B5F3A"/>
    <w:rsid w:val="001B67B8"/>
    <w:rsid w:val="001C0985"/>
    <w:rsid w:val="001C24C0"/>
    <w:rsid w:val="001C2B2A"/>
    <w:rsid w:val="001C2DA0"/>
    <w:rsid w:val="001C3427"/>
    <w:rsid w:val="001C3BD4"/>
    <w:rsid w:val="001C43E2"/>
    <w:rsid w:val="001C44C0"/>
    <w:rsid w:val="001C60DC"/>
    <w:rsid w:val="001C75F2"/>
    <w:rsid w:val="001D0E65"/>
    <w:rsid w:val="001D1169"/>
    <w:rsid w:val="001D1B10"/>
    <w:rsid w:val="001D2EAA"/>
    <w:rsid w:val="001D34BF"/>
    <w:rsid w:val="001D3A7B"/>
    <w:rsid w:val="001D4053"/>
    <w:rsid w:val="001D4510"/>
    <w:rsid w:val="001D51BF"/>
    <w:rsid w:val="001D5561"/>
    <w:rsid w:val="001D570B"/>
    <w:rsid w:val="001D59AA"/>
    <w:rsid w:val="001E124B"/>
    <w:rsid w:val="001E1562"/>
    <w:rsid w:val="001E3E6E"/>
    <w:rsid w:val="001E4DCC"/>
    <w:rsid w:val="001E56DC"/>
    <w:rsid w:val="001E59EE"/>
    <w:rsid w:val="001E5D73"/>
    <w:rsid w:val="001E75F9"/>
    <w:rsid w:val="001E7A9B"/>
    <w:rsid w:val="001E7B09"/>
    <w:rsid w:val="001F0578"/>
    <w:rsid w:val="001F3A0B"/>
    <w:rsid w:val="001F3F3C"/>
    <w:rsid w:val="001F50E3"/>
    <w:rsid w:val="001F5E12"/>
    <w:rsid w:val="002002C5"/>
    <w:rsid w:val="00200391"/>
    <w:rsid w:val="00202AE7"/>
    <w:rsid w:val="0020575E"/>
    <w:rsid w:val="00206354"/>
    <w:rsid w:val="002065E9"/>
    <w:rsid w:val="00207E83"/>
    <w:rsid w:val="002115D6"/>
    <w:rsid w:val="00213879"/>
    <w:rsid w:val="00214899"/>
    <w:rsid w:val="00215F01"/>
    <w:rsid w:val="002160EF"/>
    <w:rsid w:val="00216E4E"/>
    <w:rsid w:val="0022092A"/>
    <w:rsid w:val="00221320"/>
    <w:rsid w:val="00221335"/>
    <w:rsid w:val="00221C08"/>
    <w:rsid w:val="00222099"/>
    <w:rsid w:val="00222C0A"/>
    <w:rsid w:val="002246DA"/>
    <w:rsid w:val="002253D1"/>
    <w:rsid w:val="00225C4F"/>
    <w:rsid w:val="00226F64"/>
    <w:rsid w:val="00232C62"/>
    <w:rsid w:val="00232F90"/>
    <w:rsid w:val="002345C5"/>
    <w:rsid w:val="00237D0E"/>
    <w:rsid w:val="00240E50"/>
    <w:rsid w:val="00241321"/>
    <w:rsid w:val="0024138F"/>
    <w:rsid w:val="00241703"/>
    <w:rsid w:val="00244D2C"/>
    <w:rsid w:val="00245498"/>
    <w:rsid w:val="00247469"/>
    <w:rsid w:val="00247F1F"/>
    <w:rsid w:val="0025081E"/>
    <w:rsid w:val="00251849"/>
    <w:rsid w:val="00251B24"/>
    <w:rsid w:val="002521B1"/>
    <w:rsid w:val="00252810"/>
    <w:rsid w:val="002531E3"/>
    <w:rsid w:val="00253A8C"/>
    <w:rsid w:val="00254C4A"/>
    <w:rsid w:val="0025517D"/>
    <w:rsid w:val="00256766"/>
    <w:rsid w:val="002572EC"/>
    <w:rsid w:val="00257321"/>
    <w:rsid w:val="00260C28"/>
    <w:rsid w:val="00261A5A"/>
    <w:rsid w:val="00261FC8"/>
    <w:rsid w:val="00262409"/>
    <w:rsid w:val="002625C4"/>
    <w:rsid w:val="00262DEA"/>
    <w:rsid w:val="00262EC7"/>
    <w:rsid w:val="00264007"/>
    <w:rsid w:val="0026423B"/>
    <w:rsid w:val="00265298"/>
    <w:rsid w:val="00265C2C"/>
    <w:rsid w:val="00271664"/>
    <w:rsid w:val="00272BDA"/>
    <w:rsid w:val="00272F74"/>
    <w:rsid w:val="00273E98"/>
    <w:rsid w:val="002748E7"/>
    <w:rsid w:val="00274B45"/>
    <w:rsid w:val="00274B8F"/>
    <w:rsid w:val="00275B08"/>
    <w:rsid w:val="002764DE"/>
    <w:rsid w:val="00276EB7"/>
    <w:rsid w:val="00276F1C"/>
    <w:rsid w:val="00277160"/>
    <w:rsid w:val="0028036F"/>
    <w:rsid w:val="002805A8"/>
    <w:rsid w:val="0028095C"/>
    <w:rsid w:val="002825B8"/>
    <w:rsid w:val="002835B0"/>
    <w:rsid w:val="002849AE"/>
    <w:rsid w:val="00284BA7"/>
    <w:rsid w:val="002851E1"/>
    <w:rsid w:val="00285CE8"/>
    <w:rsid w:val="00286617"/>
    <w:rsid w:val="00286D47"/>
    <w:rsid w:val="00286F40"/>
    <w:rsid w:val="00287483"/>
    <w:rsid w:val="002878CA"/>
    <w:rsid w:val="00290E5F"/>
    <w:rsid w:val="0029112A"/>
    <w:rsid w:val="0029194E"/>
    <w:rsid w:val="00292024"/>
    <w:rsid w:val="0029256E"/>
    <w:rsid w:val="0029298E"/>
    <w:rsid w:val="00293EEA"/>
    <w:rsid w:val="002951E8"/>
    <w:rsid w:val="00296EB3"/>
    <w:rsid w:val="00297C1C"/>
    <w:rsid w:val="002A11F1"/>
    <w:rsid w:val="002A12CF"/>
    <w:rsid w:val="002A1836"/>
    <w:rsid w:val="002A1CE0"/>
    <w:rsid w:val="002A26F1"/>
    <w:rsid w:val="002A2CF1"/>
    <w:rsid w:val="002A4135"/>
    <w:rsid w:val="002A4A6C"/>
    <w:rsid w:val="002A4E3B"/>
    <w:rsid w:val="002A78F7"/>
    <w:rsid w:val="002B1561"/>
    <w:rsid w:val="002B19ED"/>
    <w:rsid w:val="002B1B33"/>
    <w:rsid w:val="002B1EBF"/>
    <w:rsid w:val="002B2C7B"/>
    <w:rsid w:val="002B307E"/>
    <w:rsid w:val="002B4FC3"/>
    <w:rsid w:val="002B6CD4"/>
    <w:rsid w:val="002B6FC1"/>
    <w:rsid w:val="002B7C72"/>
    <w:rsid w:val="002C007D"/>
    <w:rsid w:val="002C6E49"/>
    <w:rsid w:val="002C750B"/>
    <w:rsid w:val="002D193F"/>
    <w:rsid w:val="002D44BA"/>
    <w:rsid w:val="002D4E51"/>
    <w:rsid w:val="002D5402"/>
    <w:rsid w:val="002D6DA0"/>
    <w:rsid w:val="002E1E3D"/>
    <w:rsid w:val="002E22CE"/>
    <w:rsid w:val="002E643C"/>
    <w:rsid w:val="002E677B"/>
    <w:rsid w:val="002E7631"/>
    <w:rsid w:val="002F255B"/>
    <w:rsid w:val="002F3CE0"/>
    <w:rsid w:val="002F4655"/>
    <w:rsid w:val="002F5063"/>
    <w:rsid w:val="002F63FC"/>
    <w:rsid w:val="002F6A5C"/>
    <w:rsid w:val="00300CA4"/>
    <w:rsid w:val="00301A32"/>
    <w:rsid w:val="00302264"/>
    <w:rsid w:val="00302A17"/>
    <w:rsid w:val="0030520B"/>
    <w:rsid w:val="0030674A"/>
    <w:rsid w:val="003068E0"/>
    <w:rsid w:val="00306D2D"/>
    <w:rsid w:val="00307042"/>
    <w:rsid w:val="00307594"/>
    <w:rsid w:val="00312559"/>
    <w:rsid w:val="00312C94"/>
    <w:rsid w:val="003138E3"/>
    <w:rsid w:val="0031602E"/>
    <w:rsid w:val="003166FD"/>
    <w:rsid w:val="00317EFC"/>
    <w:rsid w:val="00320AB1"/>
    <w:rsid w:val="00320D6F"/>
    <w:rsid w:val="00322356"/>
    <w:rsid w:val="00323ABF"/>
    <w:rsid w:val="00323FCD"/>
    <w:rsid w:val="003256F5"/>
    <w:rsid w:val="00326058"/>
    <w:rsid w:val="00327655"/>
    <w:rsid w:val="00330298"/>
    <w:rsid w:val="003306CC"/>
    <w:rsid w:val="00330759"/>
    <w:rsid w:val="00330F65"/>
    <w:rsid w:val="0033176C"/>
    <w:rsid w:val="00332F44"/>
    <w:rsid w:val="00332FED"/>
    <w:rsid w:val="00333067"/>
    <w:rsid w:val="003346CE"/>
    <w:rsid w:val="003359CB"/>
    <w:rsid w:val="00335ADD"/>
    <w:rsid w:val="00337F74"/>
    <w:rsid w:val="003419FA"/>
    <w:rsid w:val="0034321E"/>
    <w:rsid w:val="00343B7E"/>
    <w:rsid w:val="003457CE"/>
    <w:rsid w:val="0034691A"/>
    <w:rsid w:val="00346F21"/>
    <w:rsid w:val="003478A4"/>
    <w:rsid w:val="00347D90"/>
    <w:rsid w:val="00350028"/>
    <w:rsid w:val="0035014C"/>
    <w:rsid w:val="00351DFC"/>
    <w:rsid w:val="003520A0"/>
    <w:rsid w:val="00352B38"/>
    <w:rsid w:val="00355063"/>
    <w:rsid w:val="003554F2"/>
    <w:rsid w:val="003618A0"/>
    <w:rsid w:val="00362265"/>
    <w:rsid w:val="003623E7"/>
    <w:rsid w:val="00363216"/>
    <w:rsid w:val="00364B87"/>
    <w:rsid w:val="00365A05"/>
    <w:rsid w:val="00365E88"/>
    <w:rsid w:val="0036680B"/>
    <w:rsid w:val="00367AB2"/>
    <w:rsid w:val="0037197F"/>
    <w:rsid w:val="0037279D"/>
    <w:rsid w:val="0037359C"/>
    <w:rsid w:val="0037490D"/>
    <w:rsid w:val="00374ECA"/>
    <w:rsid w:val="00376665"/>
    <w:rsid w:val="003776C7"/>
    <w:rsid w:val="00377814"/>
    <w:rsid w:val="0038117E"/>
    <w:rsid w:val="00381852"/>
    <w:rsid w:val="00381F1B"/>
    <w:rsid w:val="00382CD8"/>
    <w:rsid w:val="0038372C"/>
    <w:rsid w:val="00383D32"/>
    <w:rsid w:val="00384E2C"/>
    <w:rsid w:val="0038624C"/>
    <w:rsid w:val="00386D17"/>
    <w:rsid w:val="00392512"/>
    <w:rsid w:val="00393D6B"/>
    <w:rsid w:val="003940AB"/>
    <w:rsid w:val="00394B88"/>
    <w:rsid w:val="003958C2"/>
    <w:rsid w:val="00396F86"/>
    <w:rsid w:val="00397998"/>
    <w:rsid w:val="003A1008"/>
    <w:rsid w:val="003A2575"/>
    <w:rsid w:val="003A44C3"/>
    <w:rsid w:val="003A59C9"/>
    <w:rsid w:val="003A74E7"/>
    <w:rsid w:val="003A7FB1"/>
    <w:rsid w:val="003B113D"/>
    <w:rsid w:val="003B1205"/>
    <w:rsid w:val="003B2446"/>
    <w:rsid w:val="003B485A"/>
    <w:rsid w:val="003B4A48"/>
    <w:rsid w:val="003B67C5"/>
    <w:rsid w:val="003B68AA"/>
    <w:rsid w:val="003B7A57"/>
    <w:rsid w:val="003C1F77"/>
    <w:rsid w:val="003C21D5"/>
    <w:rsid w:val="003C2B28"/>
    <w:rsid w:val="003C41C8"/>
    <w:rsid w:val="003C4547"/>
    <w:rsid w:val="003C4D27"/>
    <w:rsid w:val="003C514D"/>
    <w:rsid w:val="003C525B"/>
    <w:rsid w:val="003C5A7A"/>
    <w:rsid w:val="003C6820"/>
    <w:rsid w:val="003C6F59"/>
    <w:rsid w:val="003C702D"/>
    <w:rsid w:val="003D03D3"/>
    <w:rsid w:val="003D0683"/>
    <w:rsid w:val="003D1BD2"/>
    <w:rsid w:val="003D6112"/>
    <w:rsid w:val="003D70F2"/>
    <w:rsid w:val="003E0329"/>
    <w:rsid w:val="003E0346"/>
    <w:rsid w:val="003E26E4"/>
    <w:rsid w:val="003E5240"/>
    <w:rsid w:val="003E58A9"/>
    <w:rsid w:val="003E598E"/>
    <w:rsid w:val="003E5D3C"/>
    <w:rsid w:val="003E6438"/>
    <w:rsid w:val="003E7FA9"/>
    <w:rsid w:val="003F01E5"/>
    <w:rsid w:val="003F01EA"/>
    <w:rsid w:val="003F0476"/>
    <w:rsid w:val="003F07E6"/>
    <w:rsid w:val="003F0D16"/>
    <w:rsid w:val="003F0EA8"/>
    <w:rsid w:val="003F129D"/>
    <w:rsid w:val="003F211B"/>
    <w:rsid w:val="003F5586"/>
    <w:rsid w:val="003F6821"/>
    <w:rsid w:val="003F794D"/>
    <w:rsid w:val="003F7ECD"/>
    <w:rsid w:val="004006BB"/>
    <w:rsid w:val="004006E5"/>
    <w:rsid w:val="00401EDA"/>
    <w:rsid w:val="004032C3"/>
    <w:rsid w:val="004034FC"/>
    <w:rsid w:val="004038D7"/>
    <w:rsid w:val="00404BBB"/>
    <w:rsid w:val="00405831"/>
    <w:rsid w:val="00405BA7"/>
    <w:rsid w:val="004109E4"/>
    <w:rsid w:val="004128C2"/>
    <w:rsid w:val="00412F82"/>
    <w:rsid w:val="0041340A"/>
    <w:rsid w:val="00413A3C"/>
    <w:rsid w:val="00413B15"/>
    <w:rsid w:val="00413CBF"/>
    <w:rsid w:val="00413D49"/>
    <w:rsid w:val="00414A34"/>
    <w:rsid w:val="00417B16"/>
    <w:rsid w:val="00417F71"/>
    <w:rsid w:val="00421360"/>
    <w:rsid w:val="00421B91"/>
    <w:rsid w:val="00421C7A"/>
    <w:rsid w:val="00421E32"/>
    <w:rsid w:val="004222D7"/>
    <w:rsid w:val="0042382C"/>
    <w:rsid w:val="00423B37"/>
    <w:rsid w:val="00423B83"/>
    <w:rsid w:val="00424048"/>
    <w:rsid w:val="004241E1"/>
    <w:rsid w:val="00425F8F"/>
    <w:rsid w:val="004302EF"/>
    <w:rsid w:val="00430336"/>
    <w:rsid w:val="00430DC2"/>
    <w:rsid w:val="00431A37"/>
    <w:rsid w:val="00431DCA"/>
    <w:rsid w:val="00433097"/>
    <w:rsid w:val="0043338F"/>
    <w:rsid w:val="004353AD"/>
    <w:rsid w:val="00440BA6"/>
    <w:rsid w:val="00440E3E"/>
    <w:rsid w:val="0044167C"/>
    <w:rsid w:val="00441CA2"/>
    <w:rsid w:val="00443F5A"/>
    <w:rsid w:val="0044491C"/>
    <w:rsid w:val="0044596E"/>
    <w:rsid w:val="00447976"/>
    <w:rsid w:val="00450167"/>
    <w:rsid w:val="004501CE"/>
    <w:rsid w:val="00450C4B"/>
    <w:rsid w:val="00452112"/>
    <w:rsid w:val="00453AD5"/>
    <w:rsid w:val="00453C5B"/>
    <w:rsid w:val="00453E54"/>
    <w:rsid w:val="00453EF4"/>
    <w:rsid w:val="00454DFC"/>
    <w:rsid w:val="0045553A"/>
    <w:rsid w:val="0045592C"/>
    <w:rsid w:val="00455D48"/>
    <w:rsid w:val="004562F2"/>
    <w:rsid w:val="00460711"/>
    <w:rsid w:val="00460932"/>
    <w:rsid w:val="00463A2A"/>
    <w:rsid w:val="0046417E"/>
    <w:rsid w:val="004649E8"/>
    <w:rsid w:val="00464A5B"/>
    <w:rsid w:val="0046643D"/>
    <w:rsid w:val="00467478"/>
    <w:rsid w:val="004675F1"/>
    <w:rsid w:val="00467CA9"/>
    <w:rsid w:val="004713A7"/>
    <w:rsid w:val="004720AD"/>
    <w:rsid w:val="004743F4"/>
    <w:rsid w:val="00474607"/>
    <w:rsid w:val="00474D32"/>
    <w:rsid w:val="00475CB7"/>
    <w:rsid w:val="00476C52"/>
    <w:rsid w:val="00480E68"/>
    <w:rsid w:val="004818C2"/>
    <w:rsid w:val="00481C07"/>
    <w:rsid w:val="004835A1"/>
    <w:rsid w:val="004855A1"/>
    <w:rsid w:val="00485F8C"/>
    <w:rsid w:val="00486132"/>
    <w:rsid w:val="00486212"/>
    <w:rsid w:val="00494BA6"/>
    <w:rsid w:val="00495236"/>
    <w:rsid w:val="0049595D"/>
    <w:rsid w:val="0049702B"/>
    <w:rsid w:val="004974E7"/>
    <w:rsid w:val="004A00BC"/>
    <w:rsid w:val="004A164F"/>
    <w:rsid w:val="004A1F10"/>
    <w:rsid w:val="004A2965"/>
    <w:rsid w:val="004A2EC7"/>
    <w:rsid w:val="004A37F2"/>
    <w:rsid w:val="004A4FC3"/>
    <w:rsid w:val="004A5111"/>
    <w:rsid w:val="004A68B2"/>
    <w:rsid w:val="004B1973"/>
    <w:rsid w:val="004B3476"/>
    <w:rsid w:val="004B4661"/>
    <w:rsid w:val="004B4A5C"/>
    <w:rsid w:val="004B65BA"/>
    <w:rsid w:val="004B7CB8"/>
    <w:rsid w:val="004C0A9C"/>
    <w:rsid w:val="004C2DAE"/>
    <w:rsid w:val="004C36F1"/>
    <w:rsid w:val="004C395A"/>
    <w:rsid w:val="004C6C09"/>
    <w:rsid w:val="004C7E66"/>
    <w:rsid w:val="004D0B77"/>
    <w:rsid w:val="004D2053"/>
    <w:rsid w:val="004D476E"/>
    <w:rsid w:val="004D518C"/>
    <w:rsid w:val="004D59C7"/>
    <w:rsid w:val="004D5CC8"/>
    <w:rsid w:val="004D60CD"/>
    <w:rsid w:val="004D69B5"/>
    <w:rsid w:val="004D6C62"/>
    <w:rsid w:val="004D6E80"/>
    <w:rsid w:val="004D720A"/>
    <w:rsid w:val="004D7BC6"/>
    <w:rsid w:val="004E047C"/>
    <w:rsid w:val="004E07BE"/>
    <w:rsid w:val="004E2CBF"/>
    <w:rsid w:val="004E2FF6"/>
    <w:rsid w:val="004E452A"/>
    <w:rsid w:val="004E604D"/>
    <w:rsid w:val="004E7A9F"/>
    <w:rsid w:val="004E7EF3"/>
    <w:rsid w:val="004E7F99"/>
    <w:rsid w:val="004F0625"/>
    <w:rsid w:val="004F1526"/>
    <w:rsid w:val="004F2867"/>
    <w:rsid w:val="004F28D5"/>
    <w:rsid w:val="004F2D9F"/>
    <w:rsid w:val="004F355E"/>
    <w:rsid w:val="004F47AC"/>
    <w:rsid w:val="004F4CE4"/>
    <w:rsid w:val="004F5B43"/>
    <w:rsid w:val="004F6AF8"/>
    <w:rsid w:val="004F6FAF"/>
    <w:rsid w:val="00500715"/>
    <w:rsid w:val="00500A2E"/>
    <w:rsid w:val="00503421"/>
    <w:rsid w:val="005039E7"/>
    <w:rsid w:val="0050588D"/>
    <w:rsid w:val="00507BB6"/>
    <w:rsid w:val="00510D7C"/>
    <w:rsid w:val="00511576"/>
    <w:rsid w:val="0051367B"/>
    <w:rsid w:val="00513CE3"/>
    <w:rsid w:val="00514272"/>
    <w:rsid w:val="00515225"/>
    <w:rsid w:val="005160F4"/>
    <w:rsid w:val="00516ACF"/>
    <w:rsid w:val="00516EAF"/>
    <w:rsid w:val="00517DDA"/>
    <w:rsid w:val="0052003E"/>
    <w:rsid w:val="00523179"/>
    <w:rsid w:val="00523894"/>
    <w:rsid w:val="005245D0"/>
    <w:rsid w:val="00525B8C"/>
    <w:rsid w:val="00525D4D"/>
    <w:rsid w:val="00526EDF"/>
    <w:rsid w:val="005273E0"/>
    <w:rsid w:val="00527E8A"/>
    <w:rsid w:val="00527F15"/>
    <w:rsid w:val="00530449"/>
    <w:rsid w:val="00531ECD"/>
    <w:rsid w:val="00532236"/>
    <w:rsid w:val="00533B56"/>
    <w:rsid w:val="00533C1D"/>
    <w:rsid w:val="00534027"/>
    <w:rsid w:val="00535B7E"/>
    <w:rsid w:val="00537062"/>
    <w:rsid w:val="0053706C"/>
    <w:rsid w:val="00537208"/>
    <w:rsid w:val="00537E01"/>
    <w:rsid w:val="00541C8C"/>
    <w:rsid w:val="00543B48"/>
    <w:rsid w:val="00543F5D"/>
    <w:rsid w:val="00544AE3"/>
    <w:rsid w:val="00544E95"/>
    <w:rsid w:val="005466AE"/>
    <w:rsid w:val="005517D1"/>
    <w:rsid w:val="0055418B"/>
    <w:rsid w:val="00554614"/>
    <w:rsid w:val="00554B2A"/>
    <w:rsid w:val="00554B7A"/>
    <w:rsid w:val="0055538B"/>
    <w:rsid w:val="005562BF"/>
    <w:rsid w:val="00557027"/>
    <w:rsid w:val="00561873"/>
    <w:rsid w:val="00561CE7"/>
    <w:rsid w:val="005626D0"/>
    <w:rsid w:val="00563E6E"/>
    <w:rsid w:val="00565989"/>
    <w:rsid w:val="00566489"/>
    <w:rsid w:val="005668BB"/>
    <w:rsid w:val="00567C3B"/>
    <w:rsid w:val="00570EC6"/>
    <w:rsid w:val="00571AEF"/>
    <w:rsid w:val="005725D2"/>
    <w:rsid w:val="00573250"/>
    <w:rsid w:val="0057361C"/>
    <w:rsid w:val="00573A6B"/>
    <w:rsid w:val="00575935"/>
    <w:rsid w:val="00575D4B"/>
    <w:rsid w:val="00580D31"/>
    <w:rsid w:val="00581918"/>
    <w:rsid w:val="00585D48"/>
    <w:rsid w:val="00585D7C"/>
    <w:rsid w:val="00585F87"/>
    <w:rsid w:val="00592C70"/>
    <w:rsid w:val="00592DBB"/>
    <w:rsid w:val="00592E95"/>
    <w:rsid w:val="00593F83"/>
    <w:rsid w:val="00594C43"/>
    <w:rsid w:val="00597A3A"/>
    <w:rsid w:val="005A0700"/>
    <w:rsid w:val="005A0F05"/>
    <w:rsid w:val="005A242F"/>
    <w:rsid w:val="005A257E"/>
    <w:rsid w:val="005A3EC9"/>
    <w:rsid w:val="005A522E"/>
    <w:rsid w:val="005A6A54"/>
    <w:rsid w:val="005B0DD5"/>
    <w:rsid w:val="005B207D"/>
    <w:rsid w:val="005B2BF8"/>
    <w:rsid w:val="005B46F9"/>
    <w:rsid w:val="005B4B6A"/>
    <w:rsid w:val="005B4DBF"/>
    <w:rsid w:val="005B6821"/>
    <w:rsid w:val="005B6C8C"/>
    <w:rsid w:val="005B7039"/>
    <w:rsid w:val="005C0187"/>
    <w:rsid w:val="005C06B8"/>
    <w:rsid w:val="005C0E92"/>
    <w:rsid w:val="005C12F7"/>
    <w:rsid w:val="005C1D3A"/>
    <w:rsid w:val="005C3133"/>
    <w:rsid w:val="005C4D21"/>
    <w:rsid w:val="005C52CC"/>
    <w:rsid w:val="005C59D2"/>
    <w:rsid w:val="005C5DFA"/>
    <w:rsid w:val="005C6761"/>
    <w:rsid w:val="005C68E8"/>
    <w:rsid w:val="005C6E41"/>
    <w:rsid w:val="005D0225"/>
    <w:rsid w:val="005D0499"/>
    <w:rsid w:val="005D14C0"/>
    <w:rsid w:val="005D2000"/>
    <w:rsid w:val="005D2571"/>
    <w:rsid w:val="005D2C41"/>
    <w:rsid w:val="005D398A"/>
    <w:rsid w:val="005D3AC5"/>
    <w:rsid w:val="005D3E1D"/>
    <w:rsid w:val="005D4C2E"/>
    <w:rsid w:val="005D4FD4"/>
    <w:rsid w:val="005D576A"/>
    <w:rsid w:val="005D689C"/>
    <w:rsid w:val="005D7123"/>
    <w:rsid w:val="005D7CAB"/>
    <w:rsid w:val="005E01E8"/>
    <w:rsid w:val="005E11F8"/>
    <w:rsid w:val="005E1607"/>
    <w:rsid w:val="005E1ECF"/>
    <w:rsid w:val="005E20A2"/>
    <w:rsid w:val="005E31D5"/>
    <w:rsid w:val="005E38A2"/>
    <w:rsid w:val="005E483F"/>
    <w:rsid w:val="005E493D"/>
    <w:rsid w:val="005E520A"/>
    <w:rsid w:val="005E5740"/>
    <w:rsid w:val="005E5879"/>
    <w:rsid w:val="005E6239"/>
    <w:rsid w:val="005E7B35"/>
    <w:rsid w:val="005F0E19"/>
    <w:rsid w:val="005F0FD4"/>
    <w:rsid w:val="005F1176"/>
    <w:rsid w:val="005F3B52"/>
    <w:rsid w:val="005F5872"/>
    <w:rsid w:val="005F67FB"/>
    <w:rsid w:val="005F6C68"/>
    <w:rsid w:val="005F76E9"/>
    <w:rsid w:val="005F7984"/>
    <w:rsid w:val="00600C17"/>
    <w:rsid w:val="00602801"/>
    <w:rsid w:val="00605BAF"/>
    <w:rsid w:val="0060684D"/>
    <w:rsid w:val="00606945"/>
    <w:rsid w:val="0060696C"/>
    <w:rsid w:val="00607871"/>
    <w:rsid w:val="00612590"/>
    <w:rsid w:val="0061496E"/>
    <w:rsid w:val="00617894"/>
    <w:rsid w:val="0062014F"/>
    <w:rsid w:val="00620332"/>
    <w:rsid w:val="00621204"/>
    <w:rsid w:val="00621362"/>
    <w:rsid w:val="00621E19"/>
    <w:rsid w:val="00623650"/>
    <w:rsid w:val="00623741"/>
    <w:rsid w:val="006252A5"/>
    <w:rsid w:val="00625C4C"/>
    <w:rsid w:val="0062706F"/>
    <w:rsid w:val="00627AFE"/>
    <w:rsid w:val="006314B9"/>
    <w:rsid w:val="00632957"/>
    <w:rsid w:val="0063378C"/>
    <w:rsid w:val="00634908"/>
    <w:rsid w:val="00636699"/>
    <w:rsid w:val="00637A3E"/>
    <w:rsid w:val="00637EEA"/>
    <w:rsid w:val="00642A27"/>
    <w:rsid w:val="00642E43"/>
    <w:rsid w:val="00643BAB"/>
    <w:rsid w:val="00644492"/>
    <w:rsid w:val="006459D3"/>
    <w:rsid w:val="0064759F"/>
    <w:rsid w:val="00647BB1"/>
    <w:rsid w:val="00650299"/>
    <w:rsid w:val="0065094A"/>
    <w:rsid w:val="00650C0F"/>
    <w:rsid w:val="006510C0"/>
    <w:rsid w:val="00651A0D"/>
    <w:rsid w:val="00653CF0"/>
    <w:rsid w:val="00654268"/>
    <w:rsid w:val="006553FD"/>
    <w:rsid w:val="0066128C"/>
    <w:rsid w:val="00661B99"/>
    <w:rsid w:val="006626CC"/>
    <w:rsid w:val="00662A4D"/>
    <w:rsid w:val="00662C14"/>
    <w:rsid w:val="00663099"/>
    <w:rsid w:val="00665BF4"/>
    <w:rsid w:val="00665DEE"/>
    <w:rsid w:val="00667BA0"/>
    <w:rsid w:val="00670633"/>
    <w:rsid w:val="00672033"/>
    <w:rsid w:val="00672F18"/>
    <w:rsid w:val="00673A44"/>
    <w:rsid w:val="006742D2"/>
    <w:rsid w:val="00674656"/>
    <w:rsid w:val="006749A3"/>
    <w:rsid w:val="0067513D"/>
    <w:rsid w:val="006754AB"/>
    <w:rsid w:val="006756F9"/>
    <w:rsid w:val="006768DE"/>
    <w:rsid w:val="00677740"/>
    <w:rsid w:val="006809AC"/>
    <w:rsid w:val="00680CB4"/>
    <w:rsid w:val="00682A06"/>
    <w:rsid w:val="00684205"/>
    <w:rsid w:val="00684B62"/>
    <w:rsid w:val="00684E44"/>
    <w:rsid w:val="00685DC1"/>
    <w:rsid w:val="00687256"/>
    <w:rsid w:val="00690197"/>
    <w:rsid w:val="00691438"/>
    <w:rsid w:val="00691472"/>
    <w:rsid w:val="00691A12"/>
    <w:rsid w:val="00692DAF"/>
    <w:rsid w:val="0069375A"/>
    <w:rsid w:val="00694294"/>
    <w:rsid w:val="006945F8"/>
    <w:rsid w:val="00695184"/>
    <w:rsid w:val="0069606A"/>
    <w:rsid w:val="00696D19"/>
    <w:rsid w:val="006A005C"/>
    <w:rsid w:val="006A04BA"/>
    <w:rsid w:val="006A05F8"/>
    <w:rsid w:val="006A4211"/>
    <w:rsid w:val="006A4889"/>
    <w:rsid w:val="006A609B"/>
    <w:rsid w:val="006A642D"/>
    <w:rsid w:val="006A779E"/>
    <w:rsid w:val="006A7CF3"/>
    <w:rsid w:val="006B0B8A"/>
    <w:rsid w:val="006B1F0F"/>
    <w:rsid w:val="006B22CB"/>
    <w:rsid w:val="006B2EDA"/>
    <w:rsid w:val="006B2EE1"/>
    <w:rsid w:val="006B470E"/>
    <w:rsid w:val="006B5A64"/>
    <w:rsid w:val="006B6DDF"/>
    <w:rsid w:val="006B7259"/>
    <w:rsid w:val="006C02AE"/>
    <w:rsid w:val="006C0D72"/>
    <w:rsid w:val="006C161D"/>
    <w:rsid w:val="006C1A71"/>
    <w:rsid w:val="006C1C27"/>
    <w:rsid w:val="006C20E4"/>
    <w:rsid w:val="006C292A"/>
    <w:rsid w:val="006C3564"/>
    <w:rsid w:val="006C3565"/>
    <w:rsid w:val="006C36B2"/>
    <w:rsid w:val="006C3C44"/>
    <w:rsid w:val="006C3E0D"/>
    <w:rsid w:val="006C462B"/>
    <w:rsid w:val="006C5A7C"/>
    <w:rsid w:val="006D02EF"/>
    <w:rsid w:val="006D1744"/>
    <w:rsid w:val="006D1CD0"/>
    <w:rsid w:val="006D2939"/>
    <w:rsid w:val="006D29D7"/>
    <w:rsid w:val="006D3757"/>
    <w:rsid w:val="006D5115"/>
    <w:rsid w:val="006D689A"/>
    <w:rsid w:val="006D7DA8"/>
    <w:rsid w:val="006E11BD"/>
    <w:rsid w:val="006E1BDB"/>
    <w:rsid w:val="006E3033"/>
    <w:rsid w:val="006E3F52"/>
    <w:rsid w:val="006E5B68"/>
    <w:rsid w:val="006E672D"/>
    <w:rsid w:val="006E7931"/>
    <w:rsid w:val="006F00CB"/>
    <w:rsid w:val="006F1535"/>
    <w:rsid w:val="006F3362"/>
    <w:rsid w:val="006F41D9"/>
    <w:rsid w:val="006F4654"/>
    <w:rsid w:val="006F4DBE"/>
    <w:rsid w:val="006F557E"/>
    <w:rsid w:val="006F605E"/>
    <w:rsid w:val="006F6341"/>
    <w:rsid w:val="00701980"/>
    <w:rsid w:val="007027CE"/>
    <w:rsid w:val="00703DAD"/>
    <w:rsid w:val="00703E81"/>
    <w:rsid w:val="00704DAA"/>
    <w:rsid w:val="00705F18"/>
    <w:rsid w:val="007060F0"/>
    <w:rsid w:val="00707D47"/>
    <w:rsid w:val="00707FFA"/>
    <w:rsid w:val="00710828"/>
    <w:rsid w:val="007109EA"/>
    <w:rsid w:val="00710B26"/>
    <w:rsid w:val="00710DB7"/>
    <w:rsid w:val="00712E6D"/>
    <w:rsid w:val="007133D2"/>
    <w:rsid w:val="00716AD9"/>
    <w:rsid w:val="00716E94"/>
    <w:rsid w:val="00716FB5"/>
    <w:rsid w:val="0072155C"/>
    <w:rsid w:val="0072196F"/>
    <w:rsid w:val="0072443E"/>
    <w:rsid w:val="00724D43"/>
    <w:rsid w:val="00726A3B"/>
    <w:rsid w:val="00726ECF"/>
    <w:rsid w:val="00730F1C"/>
    <w:rsid w:val="007326C6"/>
    <w:rsid w:val="00732CCC"/>
    <w:rsid w:val="00732EF6"/>
    <w:rsid w:val="0073309A"/>
    <w:rsid w:val="00733746"/>
    <w:rsid w:val="00733B71"/>
    <w:rsid w:val="007417EF"/>
    <w:rsid w:val="0074240E"/>
    <w:rsid w:val="00742E9C"/>
    <w:rsid w:val="00743FD7"/>
    <w:rsid w:val="007468FE"/>
    <w:rsid w:val="00746A72"/>
    <w:rsid w:val="00747C67"/>
    <w:rsid w:val="00747D34"/>
    <w:rsid w:val="007509EE"/>
    <w:rsid w:val="00750AE8"/>
    <w:rsid w:val="007519DF"/>
    <w:rsid w:val="007531E4"/>
    <w:rsid w:val="00753A54"/>
    <w:rsid w:val="00753FE2"/>
    <w:rsid w:val="007545ED"/>
    <w:rsid w:val="00754989"/>
    <w:rsid w:val="007554FA"/>
    <w:rsid w:val="00755541"/>
    <w:rsid w:val="00755E11"/>
    <w:rsid w:val="00755EB2"/>
    <w:rsid w:val="00756456"/>
    <w:rsid w:val="007629B4"/>
    <w:rsid w:val="00762BC8"/>
    <w:rsid w:val="00762ED1"/>
    <w:rsid w:val="007647BE"/>
    <w:rsid w:val="00766248"/>
    <w:rsid w:val="007700E5"/>
    <w:rsid w:val="00770F3F"/>
    <w:rsid w:val="007729BC"/>
    <w:rsid w:val="00772E91"/>
    <w:rsid w:val="00777701"/>
    <w:rsid w:val="00777DC9"/>
    <w:rsid w:val="0078030E"/>
    <w:rsid w:val="007806BD"/>
    <w:rsid w:val="007811EA"/>
    <w:rsid w:val="0078138F"/>
    <w:rsid w:val="00781CCC"/>
    <w:rsid w:val="00782DE8"/>
    <w:rsid w:val="00783973"/>
    <w:rsid w:val="00784E33"/>
    <w:rsid w:val="00785054"/>
    <w:rsid w:val="007870A4"/>
    <w:rsid w:val="00790677"/>
    <w:rsid w:val="00793C73"/>
    <w:rsid w:val="00794567"/>
    <w:rsid w:val="00795935"/>
    <w:rsid w:val="00795DDF"/>
    <w:rsid w:val="00796C08"/>
    <w:rsid w:val="007974AC"/>
    <w:rsid w:val="007A01B9"/>
    <w:rsid w:val="007A1116"/>
    <w:rsid w:val="007A3986"/>
    <w:rsid w:val="007A4199"/>
    <w:rsid w:val="007A4212"/>
    <w:rsid w:val="007A439E"/>
    <w:rsid w:val="007A46A0"/>
    <w:rsid w:val="007A4BC4"/>
    <w:rsid w:val="007A580C"/>
    <w:rsid w:val="007A5C8A"/>
    <w:rsid w:val="007A7586"/>
    <w:rsid w:val="007A7872"/>
    <w:rsid w:val="007B01FE"/>
    <w:rsid w:val="007B1325"/>
    <w:rsid w:val="007B217E"/>
    <w:rsid w:val="007B4054"/>
    <w:rsid w:val="007B5232"/>
    <w:rsid w:val="007B5935"/>
    <w:rsid w:val="007B5E22"/>
    <w:rsid w:val="007B6F2D"/>
    <w:rsid w:val="007B761F"/>
    <w:rsid w:val="007B7B09"/>
    <w:rsid w:val="007B7E97"/>
    <w:rsid w:val="007C0C2F"/>
    <w:rsid w:val="007C2CF0"/>
    <w:rsid w:val="007C64B1"/>
    <w:rsid w:val="007D125F"/>
    <w:rsid w:val="007D12A7"/>
    <w:rsid w:val="007D22D9"/>
    <w:rsid w:val="007D246C"/>
    <w:rsid w:val="007D3F46"/>
    <w:rsid w:val="007D423F"/>
    <w:rsid w:val="007D4812"/>
    <w:rsid w:val="007D7748"/>
    <w:rsid w:val="007D788D"/>
    <w:rsid w:val="007D7C4C"/>
    <w:rsid w:val="007E0EC2"/>
    <w:rsid w:val="007E185F"/>
    <w:rsid w:val="007E2979"/>
    <w:rsid w:val="007E29B9"/>
    <w:rsid w:val="007E2E64"/>
    <w:rsid w:val="007E3ECB"/>
    <w:rsid w:val="007E5C53"/>
    <w:rsid w:val="007F055E"/>
    <w:rsid w:val="007F19E8"/>
    <w:rsid w:val="007F1FE4"/>
    <w:rsid w:val="007F29C1"/>
    <w:rsid w:val="007F2F6F"/>
    <w:rsid w:val="007F37B7"/>
    <w:rsid w:val="007F429C"/>
    <w:rsid w:val="007F53DC"/>
    <w:rsid w:val="007F5924"/>
    <w:rsid w:val="007F7380"/>
    <w:rsid w:val="007F753B"/>
    <w:rsid w:val="007F7AE7"/>
    <w:rsid w:val="007F7FD4"/>
    <w:rsid w:val="008000C7"/>
    <w:rsid w:val="00800CE5"/>
    <w:rsid w:val="0080119E"/>
    <w:rsid w:val="00801504"/>
    <w:rsid w:val="00802B8E"/>
    <w:rsid w:val="00803138"/>
    <w:rsid w:val="0080447B"/>
    <w:rsid w:val="0080478E"/>
    <w:rsid w:val="008053A2"/>
    <w:rsid w:val="00805E72"/>
    <w:rsid w:val="008066B2"/>
    <w:rsid w:val="0080673E"/>
    <w:rsid w:val="00806CEC"/>
    <w:rsid w:val="008079E3"/>
    <w:rsid w:val="008132CD"/>
    <w:rsid w:val="00814A3C"/>
    <w:rsid w:val="00814CC3"/>
    <w:rsid w:val="00814E17"/>
    <w:rsid w:val="00817CFA"/>
    <w:rsid w:val="00820604"/>
    <w:rsid w:val="00822605"/>
    <w:rsid w:val="0082288C"/>
    <w:rsid w:val="00823E28"/>
    <w:rsid w:val="008240C3"/>
    <w:rsid w:val="00825C1D"/>
    <w:rsid w:val="00825C1F"/>
    <w:rsid w:val="008268A0"/>
    <w:rsid w:val="008268B3"/>
    <w:rsid w:val="00827C8D"/>
    <w:rsid w:val="00831510"/>
    <w:rsid w:val="00831EF4"/>
    <w:rsid w:val="00832AF0"/>
    <w:rsid w:val="00833C52"/>
    <w:rsid w:val="00834A34"/>
    <w:rsid w:val="00834D01"/>
    <w:rsid w:val="0083623A"/>
    <w:rsid w:val="0083763F"/>
    <w:rsid w:val="00840804"/>
    <w:rsid w:val="00840872"/>
    <w:rsid w:val="00840EDA"/>
    <w:rsid w:val="008416C4"/>
    <w:rsid w:val="008417F0"/>
    <w:rsid w:val="00841C83"/>
    <w:rsid w:val="008420A4"/>
    <w:rsid w:val="008432C9"/>
    <w:rsid w:val="0084381B"/>
    <w:rsid w:val="008438BD"/>
    <w:rsid w:val="00843F4C"/>
    <w:rsid w:val="00843F51"/>
    <w:rsid w:val="008451AC"/>
    <w:rsid w:val="00845C44"/>
    <w:rsid w:val="00845E63"/>
    <w:rsid w:val="00845F7B"/>
    <w:rsid w:val="008519D4"/>
    <w:rsid w:val="00851A14"/>
    <w:rsid w:val="00853900"/>
    <w:rsid w:val="00854568"/>
    <w:rsid w:val="008555DA"/>
    <w:rsid w:val="008558AF"/>
    <w:rsid w:val="00856FED"/>
    <w:rsid w:val="0085785A"/>
    <w:rsid w:val="00861182"/>
    <w:rsid w:val="00861857"/>
    <w:rsid w:val="008629F4"/>
    <w:rsid w:val="00864A4E"/>
    <w:rsid w:val="0086684B"/>
    <w:rsid w:val="0086794D"/>
    <w:rsid w:val="00867DF9"/>
    <w:rsid w:val="008700F3"/>
    <w:rsid w:val="0087126E"/>
    <w:rsid w:val="00873098"/>
    <w:rsid w:val="00876160"/>
    <w:rsid w:val="008764BC"/>
    <w:rsid w:val="0087736D"/>
    <w:rsid w:val="00877FF3"/>
    <w:rsid w:val="008801D4"/>
    <w:rsid w:val="00880E76"/>
    <w:rsid w:val="00881EC8"/>
    <w:rsid w:val="00882311"/>
    <w:rsid w:val="008834C9"/>
    <w:rsid w:val="00883511"/>
    <w:rsid w:val="00884455"/>
    <w:rsid w:val="00885643"/>
    <w:rsid w:val="0088596E"/>
    <w:rsid w:val="00886A6F"/>
    <w:rsid w:val="008901B8"/>
    <w:rsid w:val="008903AE"/>
    <w:rsid w:val="00891045"/>
    <w:rsid w:val="00891110"/>
    <w:rsid w:val="00891553"/>
    <w:rsid w:val="00891788"/>
    <w:rsid w:val="008923B4"/>
    <w:rsid w:val="008924F8"/>
    <w:rsid w:val="008927DE"/>
    <w:rsid w:val="008948B5"/>
    <w:rsid w:val="00895C93"/>
    <w:rsid w:val="00896622"/>
    <w:rsid w:val="00896866"/>
    <w:rsid w:val="00896ADD"/>
    <w:rsid w:val="008A1B6E"/>
    <w:rsid w:val="008A2169"/>
    <w:rsid w:val="008A2900"/>
    <w:rsid w:val="008A41A5"/>
    <w:rsid w:val="008A47AD"/>
    <w:rsid w:val="008A527D"/>
    <w:rsid w:val="008A5729"/>
    <w:rsid w:val="008A5C97"/>
    <w:rsid w:val="008A6362"/>
    <w:rsid w:val="008A76D9"/>
    <w:rsid w:val="008A7819"/>
    <w:rsid w:val="008B0BE0"/>
    <w:rsid w:val="008B18C1"/>
    <w:rsid w:val="008B1DE1"/>
    <w:rsid w:val="008B23F8"/>
    <w:rsid w:val="008B3F0D"/>
    <w:rsid w:val="008B4E64"/>
    <w:rsid w:val="008B63C6"/>
    <w:rsid w:val="008B6A26"/>
    <w:rsid w:val="008C02F3"/>
    <w:rsid w:val="008C083F"/>
    <w:rsid w:val="008C1121"/>
    <w:rsid w:val="008C181D"/>
    <w:rsid w:val="008C25C7"/>
    <w:rsid w:val="008C34C4"/>
    <w:rsid w:val="008C41EA"/>
    <w:rsid w:val="008C4E16"/>
    <w:rsid w:val="008C4F76"/>
    <w:rsid w:val="008C564F"/>
    <w:rsid w:val="008C62BF"/>
    <w:rsid w:val="008C679B"/>
    <w:rsid w:val="008D02D8"/>
    <w:rsid w:val="008D253C"/>
    <w:rsid w:val="008D2A29"/>
    <w:rsid w:val="008D34A4"/>
    <w:rsid w:val="008D4B0A"/>
    <w:rsid w:val="008D4D47"/>
    <w:rsid w:val="008D4FA1"/>
    <w:rsid w:val="008D5C04"/>
    <w:rsid w:val="008D5E7C"/>
    <w:rsid w:val="008D6485"/>
    <w:rsid w:val="008D6546"/>
    <w:rsid w:val="008D6838"/>
    <w:rsid w:val="008D6B05"/>
    <w:rsid w:val="008E121A"/>
    <w:rsid w:val="008E1434"/>
    <w:rsid w:val="008E3A31"/>
    <w:rsid w:val="008E4549"/>
    <w:rsid w:val="008E6CCD"/>
    <w:rsid w:val="008E7DAD"/>
    <w:rsid w:val="008F09C5"/>
    <w:rsid w:val="008F1734"/>
    <w:rsid w:val="008F1DAC"/>
    <w:rsid w:val="008F310A"/>
    <w:rsid w:val="008F3C28"/>
    <w:rsid w:val="008F3D22"/>
    <w:rsid w:val="008F4473"/>
    <w:rsid w:val="008F4740"/>
    <w:rsid w:val="008F5064"/>
    <w:rsid w:val="008F5755"/>
    <w:rsid w:val="008F58D4"/>
    <w:rsid w:val="008F5B3F"/>
    <w:rsid w:val="008F5C4D"/>
    <w:rsid w:val="008F5D18"/>
    <w:rsid w:val="008F6EB1"/>
    <w:rsid w:val="00900CB8"/>
    <w:rsid w:val="00900E0D"/>
    <w:rsid w:val="0090206F"/>
    <w:rsid w:val="00904B87"/>
    <w:rsid w:val="009055D9"/>
    <w:rsid w:val="00906091"/>
    <w:rsid w:val="00906123"/>
    <w:rsid w:val="00906A84"/>
    <w:rsid w:val="00911804"/>
    <w:rsid w:val="00911EE6"/>
    <w:rsid w:val="00913F13"/>
    <w:rsid w:val="00914B1B"/>
    <w:rsid w:val="009155A9"/>
    <w:rsid w:val="00915949"/>
    <w:rsid w:val="00916626"/>
    <w:rsid w:val="0091665B"/>
    <w:rsid w:val="00916C88"/>
    <w:rsid w:val="00917680"/>
    <w:rsid w:val="009203A4"/>
    <w:rsid w:val="00920BBB"/>
    <w:rsid w:val="009219A4"/>
    <w:rsid w:val="0092300F"/>
    <w:rsid w:val="009243FD"/>
    <w:rsid w:val="00924491"/>
    <w:rsid w:val="009259CA"/>
    <w:rsid w:val="009260BC"/>
    <w:rsid w:val="00926ED0"/>
    <w:rsid w:val="0092791E"/>
    <w:rsid w:val="009307C7"/>
    <w:rsid w:val="0093371C"/>
    <w:rsid w:val="00934A54"/>
    <w:rsid w:val="009362F0"/>
    <w:rsid w:val="00936857"/>
    <w:rsid w:val="00937053"/>
    <w:rsid w:val="00940590"/>
    <w:rsid w:val="00942CAF"/>
    <w:rsid w:val="009456C8"/>
    <w:rsid w:val="009502E2"/>
    <w:rsid w:val="00950AEA"/>
    <w:rsid w:val="00951EED"/>
    <w:rsid w:val="00952257"/>
    <w:rsid w:val="00953A92"/>
    <w:rsid w:val="0095446A"/>
    <w:rsid w:val="00955079"/>
    <w:rsid w:val="0095538B"/>
    <w:rsid w:val="00956449"/>
    <w:rsid w:val="00956A94"/>
    <w:rsid w:val="00960516"/>
    <w:rsid w:val="009613E2"/>
    <w:rsid w:val="00961853"/>
    <w:rsid w:val="00963CCF"/>
    <w:rsid w:val="00963F14"/>
    <w:rsid w:val="009655C5"/>
    <w:rsid w:val="0096564B"/>
    <w:rsid w:val="009677EC"/>
    <w:rsid w:val="009714DB"/>
    <w:rsid w:val="0097202A"/>
    <w:rsid w:val="00974A2C"/>
    <w:rsid w:val="00975378"/>
    <w:rsid w:val="009756D4"/>
    <w:rsid w:val="00975954"/>
    <w:rsid w:val="00976099"/>
    <w:rsid w:val="00977919"/>
    <w:rsid w:val="00980B29"/>
    <w:rsid w:val="00981CE0"/>
    <w:rsid w:val="009847D3"/>
    <w:rsid w:val="00985EC7"/>
    <w:rsid w:val="00987F99"/>
    <w:rsid w:val="00993748"/>
    <w:rsid w:val="00995362"/>
    <w:rsid w:val="00995F9A"/>
    <w:rsid w:val="00996506"/>
    <w:rsid w:val="00996A87"/>
    <w:rsid w:val="00997ADF"/>
    <w:rsid w:val="009A023C"/>
    <w:rsid w:val="009A2120"/>
    <w:rsid w:val="009A31C6"/>
    <w:rsid w:val="009A43A8"/>
    <w:rsid w:val="009A47A9"/>
    <w:rsid w:val="009A4BF4"/>
    <w:rsid w:val="009A4F27"/>
    <w:rsid w:val="009A6366"/>
    <w:rsid w:val="009A709E"/>
    <w:rsid w:val="009A70C6"/>
    <w:rsid w:val="009A75EC"/>
    <w:rsid w:val="009A763B"/>
    <w:rsid w:val="009A7964"/>
    <w:rsid w:val="009B0C57"/>
    <w:rsid w:val="009B0F24"/>
    <w:rsid w:val="009B1B1D"/>
    <w:rsid w:val="009B3FCD"/>
    <w:rsid w:val="009B438F"/>
    <w:rsid w:val="009B4508"/>
    <w:rsid w:val="009B4557"/>
    <w:rsid w:val="009B61A4"/>
    <w:rsid w:val="009B6211"/>
    <w:rsid w:val="009B7113"/>
    <w:rsid w:val="009B7936"/>
    <w:rsid w:val="009C02E8"/>
    <w:rsid w:val="009C20A6"/>
    <w:rsid w:val="009C2872"/>
    <w:rsid w:val="009C3ACC"/>
    <w:rsid w:val="009C5003"/>
    <w:rsid w:val="009C52F6"/>
    <w:rsid w:val="009C55D0"/>
    <w:rsid w:val="009C566B"/>
    <w:rsid w:val="009C65CC"/>
    <w:rsid w:val="009C6622"/>
    <w:rsid w:val="009C79B4"/>
    <w:rsid w:val="009D1225"/>
    <w:rsid w:val="009D209B"/>
    <w:rsid w:val="009D21D5"/>
    <w:rsid w:val="009D298C"/>
    <w:rsid w:val="009D29DE"/>
    <w:rsid w:val="009D31C7"/>
    <w:rsid w:val="009D3662"/>
    <w:rsid w:val="009D41F4"/>
    <w:rsid w:val="009D4D74"/>
    <w:rsid w:val="009D5A5C"/>
    <w:rsid w:val="009D66AB"/>
    <w:rsid w:val="009D7089"/>
    <w:rsid w:val="009D782A"/>
    <w:rsid w:val="009E41E0"/>
    <w:rsid w:val="009E45F9"/>
    <w:rsid w:val="009E4656"/>
    <w:rsid w:val="009E4932"/>
    <w:rsid w:val="009E4E0C"/>
    <w:rsid w:val="009E5AF6"/>
    <w:rsid w:val="009E5E7C"/>
    <w:rsid w:val="009E6007"/>
    <w:rsid w:val="009E7A08"/>
    <w:rsid w:val="009E7E78"/>
    <w:rsid w:val="009F0FCE"/>
    <w:rsid w:val="009F16E3"/>
    <w:rsid w:val="009F1FF7"/>
    <w:rsid w:val="009F39CE"/>
    <w:rsid w:val="009F422C"/>
    <w:rsid w:val="009F4F7A"/>
    <w:rsid w:val="009F5668"/>
    <w:rsid w:val="009F5A44"/>
    <w:rsid w:val="009F673B"/>
    <w:rsid w:val="00A02C1D"/>
    <w:rsid w:val="00A03069"/>
    <w:rsid w:val="00A0307C"/>
    <w:rsid w:val="00A03568"/>
    <w:rsid w:val="00A03A25"/>
    <w:rsid w:val="00A04B86"/>
    <w:rsid w:val="00A064D7"/>
    <w:rsid w:val="00A0757F"/>
    <w:rsid w:val="00A110D0"/>
    <w:rsid w:val="00A11E34"/>
    <w:rsid w:val="00A12888"/>
    <w:rsid w:val="00A12B24"/>
    <w:rsid w:val="00A12CA9"/>
    <w:rsid w:val="00A12EC2"/>
    <w:rsid w:val="00A14A33"/>
    <w:rsid w:val="00A14E0E"/>
    <w:rsid w:val="00A16649"/>
    <w:rsid w:val="00A203A8"/>
    <w:rsid w:val="00A213F1"/>
    <w:rsid w:val="00A21E38"/>
    <w:rsid w:val="00A237A6"/>
    <w:rsid w:val="00A23AA4"/>
    <w:rsid w:val="00A23C3E"/>
    <w:rsid w:val="00A23D23"/>
    <w:rsid w:val="00A250D6"/>
    <w:rsid w:val="00A2753E"/>
    <w:rsid w:val="00A3201F"/>
    <w:rsid w:val="00A32899"/>
    <w:rsid w:val="00A33BC6"/>
    <w:rsid w:val="00A35A2E"/>
    <w:rsid w:val="00A378E1"/>
    <w:rsid w:val="00A37C9C"/>
    <w:rsid w:val="00A41681"/>
    <w:rsid w:val="00A41AF3"/>
    <w:rsid w:val="00A41D0D"/>
    <w:rsid w:val="00A41F1A"/>
    <w:rsid w:val="00A41FE9"/>
    <w:rsid w:val="00A4543C"/>
    <w:rsid w:val="00A45D64"/>
    <w:rsid w:val="00A4673B"/>
    <w:rsid w:val="00A5094A"/>
    <w:rsid w:val="00A51F35"/>
    <w:rsid w:val="00A5493A"/>
    <w:rsid w:val="00A55A16"/>
    <w:rsid w:val="00A566AA"/>
    <w:rsid w:val="00A57A4A"/>
    <w:rsid w:val="00A6042B"/>
    <w:rsid w:val="00A60D03"/>
    <w:rsid w:val="00A61AA4"/>
    <w:rsid w:val="00A6220C"/>
    <w:rsid w:val="00A63127"/>
    <w:rsid w:val="00A63FA5"/>
    <w:rsid w:val="00A64FF7"/>
    <w:rsid w:val="00A662D2"/>
    <w:rsid w:val="00A664B7"/>
    <w:rsid w:val="00A703F6"/>
    <w:rsid w:val="00A71DDA"/>
    <w:rsid w:val="00A724E4"/>
    <w:rsid w:val="00A74B3A"/>
    <w:rsid w:val="00A85259"/>
    <w:rsid w:val="00A866B6"/>
    <w:rsid w:val="00A87B1A"/>
    <w:rsid w:val="00A90931"/>
    <w:rsid w:val="00A9155A"/>
    <w:rsid w:val="00A93B50"/>
    <w:rsid w:val="00A9458F"/>
    <w:rsid w:val="00A95249"/>
    <w:rsid w:val="00A959FC"/>
    <w:rsid w:val="00A96B08"/>
    <w:rsid w:val="00A97954"/>
    <w:rsid w:val="00A97D04"/>
    <w:rsid w:val="00AA124E"/>
    <w:rsid w:val="00AA2164"/>
    <w:rsid w:val="00AA2518"/>
    <w:rsid w:val="00AA3271"/>
    <w:rsid w:val="00AA3BE1"/>
    <w:rsid w:val="00AA43D0"/>
    <w:rsid w:val="00AA5063"/>
    <w:rsid w:val="00AA6796"/>
    <w:rsid w:val="00AB1280"/>
    <w:rsid w:val="00AB1351"/>
    <w:rsid w:val="00AB269B"/>
    <w:rsid w:val="00AB26E9"/>
    <w:rsid w:val="00AB3D94"/>
    <w:rsid w:val="00AB4C65"/>
    <w:rsid w:val="00AB54B6"/>
    <w:rsid w:val="00AB55C5"/>
    <w:rsid w:val="00AB6ED1"/>
    <w:rsid w:val="00AB7609"/>
    <w:rsid w:val="00AB76D3"/>
    <w:rsid w:val="00AC1391"/>
    <w:rsid w:val="00AC2902"/>
    <w:rsid w:val="00AC3C15"/>
    <w:rsid w:val="00AC461B"/>
    <w:rsid w:val="00AC5E1A"/>
    <w:rsid w:val="00AC7726"/>
    <w:rsid w:val="00AC78B6"/>
    <w:rsid w:val="00AD2357"/>
    <w:rsid w:val="00AD258D"/>
    <w:rsid w:val="00AD4085"/>
    <w:rsid w:val="00AD4657"/>
    <w:rsid w:val="00AD5244"/>
    <w:rsid w:val="00AD6550"/>
    <w:rsid w:val="00AD66CA"/>
    <w:rsid w:val="00AD6A15"/>
    <w:rsid w:val="00AD7585"/>
    <w:rsid w:val="00AE041B"/>
    <w:rsid w:val="00AE0D13"/>
    <w:rsid w:val="00AE1CA4"/>
    <w:rsid w:val="00AE5297"/>
    <w:rsid w:val="00AE6770"/>
    <w:rsid w:val="00AE7058"/>
    <w:rsid w:val="00AE71D1"/>
    <w:rsid w:val="00AF0301"/>
    <w:rsid w:val="00AF088D"/>
    <w:rsid w:val="00AF1AE3"/>
    <w:rsid w:val="00AF21C3"/>
    <w:rsid w:val="00AF26DE"/>
    <w:rsid w:val="00AF29B5"/>
    <w:rsid w:val="00AF2D9F"/>
    <w:rsid w:val="00AF307A"/>
    <w:rsid w:val="00AF395B"/>
    <w:rsid w:val="00AF3EE7"/>
    <w:rsid w:val="00AF4734"/>
    <w:rsid w:val="00AF5349"/>
    <w:rsid w:val="00AF5451"/>
    <w:rsid w:val="00AF5E79"/>
    <w:rsid w:val="00AF7B95"/>
    <w:rsid w:val="00AF7D4A"/>
    <w:rsid w:val="00B01667"/>
    <w:rsid w:val="00B03A88"/>
    <w:rsid w:val="00B03C36"/>
    <w:rsid w:val="00B073F3"/>
    <w:rsid w:val="00B0788E"/>
    <w:rsid w:val="00B1185B"/>
    <w:rsid w:val="00B12109"/>
    <w:rsid w:val="00B129FA"/>
    <w:rsid w:val="00B13598"/>
    <w:rsid w:val="00B13CDD"/>
    <w:rsid w:val="00B14811"/>
    <w:rsid w:val="00B14BBC"/>
    <w:rsid w:val="00B15EF4"/>
    <w:rsid w:val="00B17294"/>
    <w:rsid w:val="00B17FBA"/>
    <w:rsid w:val="00B20DD6"/>
    <w:rsid w:val="00B223FA"/>
    <w:rsid w:val="00B238BA"/>
    <w:rsid w:val="00B25AA9"/>
    <w:rsid w:val="00B26C13"/>
    <w:rsid w:val="00B275AE"/>
    <w:rsid w:val="00B30093"/>
    <w:rsid w:val="00B31369"/>
    <w:rsid w:val="00B31950"/>
    <w:rsid w:val="00B33608"/>
    <w:rsid w:val="00B34561"/>
    <w:rsid w:val="00B352D5"/>
    <w:rsid w:val="00B35663"/>
    <w:rsid w:val="00B362BF"/>
    <w:rsid w:val="00B3675F"/>
    <w:rsid w:val="00B3760A"/>
    <w:rsid w:val="00B37A7B"/>
    <w:rsid w:val="00B37E4E"/>
    <w:rsid w:val="00B42D1F"/>
    <w:rsid w:val="00B4395A"/>
    <w:rsid w:val="00B44288"/>
    <w:rsid w:val="00B44B3E"/>
    <w:rsid w:val="00B45885"/>
    <w:rsid w:val="00B45BE5"/>
    <w:rsid w:val="00B46277"/>
    <w:rsid w:val="00B46E1C"/>
    <w:rsid w:val="00B4741E"/>
    <w:rsid w:val="00B4782A"/>
    <w:rsid w:val="00B503EB"/>
    <w:rsid w:val="00B51A34"/>
    <w:rsid w:val="00B529A7"/>
    <w:rsid w:val="00B52E73"/>
    <w:rsid w:val="00B55DE4"/>
    <w:rsid w:val="00B5601B"/>
    <w:rsid w:val="00B569F8"/>
    <w:rsid w:val="00B56BD0"/>
    <w:rsid w:val="00B573DD"/>
    <w:rsid w:val="00B60E4E"/>
    <w:rsid w:val="00B61EBC"/>
    <w:rsid w:val="00B6685E"/>
    <w:rsid w:val="00B674F7"/>
    <w:rsid w:val="00B67FEF"/>
    <w:rsid w:val="00B70F87"/>
    <w:rsid w:val="00B711BE"/>
    <w:rsid w:val="00B717CA"/>
    <w:rsid w:val="00B71CD1"/>
    <w:rsid w:val="00B73536"/>
    <w:rsid w:val="00B73CAE"/>
    <w:rsid w:val="00B74D29"/>
    <w:rsid w:val="00B74FF3"/>
    <w:rsid w:val="00B75948"/>
    <w:rsid w:val="00B76317"/>
    <w:rsid w:val="00B76839"/>
    <w:rsid w:val="00B77874"/>
    <w:rsid w:val="00B779DF"/>
    <w:rsid w:val="00B77BBB"/>
    <w:rsid w:val="00B8023D"/>
    <w:rsid w:val="00B81B84"/>
    <w:rsid w:val="00B84AE1"/>
    <w:rsid w:val="00B85BFA"/>
    <w:rsid w:val="00B86247"/>
    <w:rsid w:val="00B90721"/>
    <w:rsid w:val="00B91253"/>
    <w:rsid w:val="00B92300"/>
    <w:rsid w:val="00B924CE"/>
    <w:rsid w:val="00B9255F"/>
    <w:rsid w:val="00B92927"/>
    <w:rsid w:val="00B9297E"/>
    <w:rsid w:val="00B92AE2"/>
    <w:rsid w:val="00B931CF"/>
    <w:rsid w:val="00B93AD2"/>
    <w:rsid w:val="00B94348"/>
    <w:rsid w:val="00B965FD"/>
    <w:rsid w:val="00BA08C6"/>
    <w:rsid w:val="00BA0D25"/>
    <w:rsid w:val="00BA13A1"/>
    <w:rsid w:val="00BA1AD5"/>
    <w:rsid w:val="00BA2589"/>
    <w:rsid w:val="00BA2D36"/>
    <w:rsid w:val="00BA3115"/>
    <w:rsid w:val="00BA3B89"/>
    <w:rsid w:val="00BA5012"/>
    <w:rsid w:val="00BA64C4"/>
    <w:rsid w:val="00BA6E48"/>
    <w:rsid w:val="00BA73B6"/>
    <w:rsid w:val="00BB1F36"/>
    <w:rsid w:val="00BB2205"/>
    <w:rsid w:val="00BB242E"/>
    <w:rsid w:val="00BB293B"/>
    <w:rsid w:val="00BB2D49"/>
    <w:rsid w:val="00BB4CDB"/>
    <w:rsid w:val="00BB6B29"/>
    <w:rsid w:val="00BB7078"/>
    <w:rsid w:val="00BB71B4"/>
    <w:rsid w:val="00BC06EC"/>
    <w:rsid w:val="00BC28F7"/>
    <w:rsid w:val="00BC2CC3"/>
    <w:rsid w:val="00BC579A"/>
    <w:rsid w:val="00BC58D3"/>
    <w:rsid w:val="00BC7F5D"/>
    <w:rsid w:val="00BD09D6"/>
    <w:rsid w:val="00BD0A55"/>
    <w:rsid w:val="00BD1467"/>
    <w:rsid w:val="00BD4E30"/>
    <w:rsid w:val="00BD4F4D"/>
    <w:rsid w:val="00BD562F"/>
    <w:rsid w:val="00BD7D6D"/>
    <w:rsid w:val="00BD7F53"/>
    <w:rsid w:val="00BE1263"/>
    <w:rsid w:val="00BE1A94"/>
    <w:rsid w:val="00BE1E54"/>
    <w:rsid w:val="00BE262A"/>
    <w:rsid w:val="00BE2E0B"/>
    <w:rsid w:val="00BE590B"/>
    <w:rsid w:val="00BE5E1C"/>
    <w:rsid w:val="00BE741E"/>
    <w:rsid w:val="00BE786B"/>
    <w:rsid w:val="00BE7FCA"/>
    <w:rsid w:val="00BF0538"/>
    <w:rsid w:val="00BF0847"/>
    <w:rsid w:val="00BF10F2"/>
    <w:rsid w:val="00BF147D"/>
    <w:rsid w:val="00BF3788"/>
    <w:rsid w:val="00BF3D70"/>
    <w:rsid w:val="00BF407D"/>
    <w:rsid w:val="00BF6624"/>
    <w:rsid w:val="00C002F7"/>
    <w:rsid w:val="00C00B4C"/>
    <w:rsid w:val="00C04953"/>
    <w:rsid w:val="00C04C65"/>
    <w:rsid w:val="00C05463"/>
    <w:rsid w:val="00C05CD3"/>
    <w:rsid w:val="00C10178"/>
    <w:rsid w:val="00C1075C"/>
    <w:rsid w:val="00C11DBD"/>
    <w:rsid w:val="00C14B77"/>
    <w:rsid w:val="00C14EB3"/>
    <w:rsid w:val="00C157E9"/>
    <w:rsid w:val="00C15A58"/>
    <w:rsid w:val="00C17271"/>
    <w:rsid w:val="00C1762D"/>
    <w:rsid w:val="00C209F7"/>
    <w:rsid w:val="00C226B0"/>
    <w:rsid w:val="00C22AB3"/>
    <w:rsid w:val="00C34589"/>
    <w:rsid w:val="00C35433"/>
    <w:rsid w:val="00C37E40"/>
    <w:rsid w:val="00C409F2"/>
    <w:rsid w:val="00C41687"/>
    <w:rsid w:val="00C41E85"/>
    <w:rsid w:val="00C4229D"/>
    <w:rsid w:val="00C43A84"/>
    <w:rsid w:val="00C44447"/>
    <w:rsid w:val="00C44DA7"/>
    <w:rsid w:val="00C44F55"/>
    <w:rsid w:val="00C4554B"/>
    <w:rsid w:val="00C457BC"/>
    <w:rsid w:val="00C45CE0"/>
    <w:rsid w:val="00C4779C"/>
    <w:rsid w:val="00C527B6"/>
    <w:rsid w:val="00C53256"/>
    <w:rsid w:val="00C5336F"/>
    <w:rsid w:val="00C53587"/>
    <w:rsid w:val="00C53BBF"/>
    <w:rsid w:val="00C5492A"/>
    <w:rsid w:val="00C56C01"/>
    <w:rsid w:val="00C56FF4"/>
    <w:rsid w:val="00C61759"/>
    <w:rsid w:val="00C61CDB"/>
    <w:rsid w:val="00C61F69"/>
    <w:rsid w:val="00C622A7"/>
    <w:rsid w:val="00C624AF"/>
    <w:rsid w:val="00C62C0D"/>
    <w:rsid w:val="00C632BA"/>
    <w:rsid w:val="00C63B3C"/>
    <w:rsid w:val="00C63F48"/>
    <w:rsid w:val="00C661B5"/>
    <w:rsid w:val="00C66CCB"/>
    <w:rsid w:val="00C7124E"/>
    <w:rsid w:val="00C71438"/>
    <w:rsid w:val="00C72680"/>
    <w:rsid w:val="00C7273C"/>
    <w:rsid w:val="00C73D56"/>
    <w:rsid w:val="00C82056"/>
    <w:rsid w:val="00C82E94"/>
    <w:rsid w:val="00C8320E"/>
    <w:rsid w:val="00C83F36"/>
    <w:rsid w:val="00C844F2"/>
    <w:rsid w:val="00C8482F"/>
    <w:rsid w:val="00C85D63"/>
    <w:rsid w:val="00C86741"/>
    <w:rsid w:val="00C903B0"/>
    <w:rsid w:val="00C90E16"/>
    <w:rsid w:val="00C917E9"/>
    <w:rsid w:val="00C9277D"/>
    <w:rsid w:val="00C95D98"/>
    <w:rsid w:val="00C960DC"/>
    <w:rsid w:val="00C962AF"/>
    <w:rsid w:val="00C96C8C"/>
    <w:rsid w:val="00C96E31"/>
    <w:rsid w:val="00C96E37"/>
    <w:rsid w:val="00CA2BEE"/>
    <w:rsid w:val="00CA31CD"/>
    <w:rsid w:val="00CA469A"/>
    <w:rsid w:val="00CA621E"/>
    <w:rsid w:val="00CA644C"/>
    <w:rsid w:val="00CA64F3"/>
    <w:rsid w:val="00CA76BE"/>
    <w:rsid w:val="00CB0FF4"/>
    <w:rsid w:val="00CB208D"/>
    <w:rsid w:val="00CB3511"/>
    <w:rsid w:val="00CB39CA"/>
    <w:rsid w:val="00CB438C"/>
    <w:rsid w:val="00CB4E6E"/>
    <w:rsid w:val="00CB7193"/>
    <w:rsid w:val="00CC02F1"/>
    <w:rsid w:val="00CC16C4"/>
    <w:rsid w:val="00CC1927"/>
    <w:rsid w:val="00CC1B2F"/>
    <w:rsid w:val="00CC3948"/>
    <w:rsid w:val="00CC46E0"/>
    <w:rsid w:val="00CC4A87"/>
    <w:rsid w:val="00CC4F9D"/>
    <w:rsid w:val="00CC5449"/>
    <w:rsid w:val="00CC5A61"/>
    <w:rsid w:val="00CC5C56"/>
    <w:rsid w:val="00CC5F7F"/>
    <w:rsid w:val="00CC611E"/>
    <w:rsid w:val="00CD0248"/>
    <w:rsid w:val="00CD320E"/>
    <w:rsid w:val="00CD6085"/>
    <w:rsid w:val="00CE47C0"/>
    <w:rsid w:val="00CE4AC0"/>
    <w:rsid w:val="00CE5219"/>
    <w:rsid w:val="00CE6EDE"/>
    <w:rsid w:val="00CE7DDA"/>
    <w:rsid w:val="00CF02CB"/>
    <w:rsid w:val="00CF0762"/>
    <w:rsid w:val="00CF32DF"/>
    <w:rsid w:val="00CF44F8"/>
    <w:rsid w:val="00CF5397"/>
    <w:rsid w:val="00CF5A81"/>
    <w:rsid w:val="00CF5D4D"/>
    <w:rsid w:val="00CF608F"/>
    <w:rsid w:val="00D02445"/>
    <w:rsid w:val="00D038BB"/>
    <w:rsid w:val="00D03D35"/>
    <w:rsid w:val="00D0649C"/>
    <w:rsid w:val="00D072A7"/>
    <w:rsid w:val="00D10A92"/>
    <w:rsid w:val="00D10B13"/>
    <w:rsid w:val="00D10DB1"/>
    <w:rsid w:val="00D10FB8"/>
    <w:rsid w:val="00D137A4"/>
    <w:rsid w:val="00D14847"/>
    <w:rsid w:val="00D159C4"/>
    <w:rsid w:val="00D15E91"/>
    <w:rsid w:val="00D16067"/>
    <w:rsid w:val="00D20011"/>
    <w:rsid w:val="00D20AC4"/>
    <w:rsid w:val="00D2177B"/>
    <w:rsid w:val="00D21D7B"/>
    <w:rsid w:val="00D22687"/>
    <w:rsid w:val="00D23670"/>
    <w:rsid w:val="00D237DB"/>
    <w:rsid w:val="00D23EC1"/>
    <w:rsid w:val="00D2430D"/>
    <w:rsid w:val="00D24EA6"/>
    <w:rsid w:val="00D252E2"/>
    <w:rsid w:val="00D25423"/>
    <w:rsid w:val="00D267EF"/>
    <w:rsid w:val="00D27978"/>
    <w:rsid w:val="00D30703"/>
    <w:rsid w:val="00D30881"/>
    <w:rsid w:val="00D31C9C"/>
    <w:rsid w:val="00D34158"/>
    <w:rsid w:val="00D34DC8"/>
    <w:rsid w:val="00D352BD"/>
    <w:rsid w:val="00D35ADD"/>
    <w:rsid w:val="00D360C7"/>
    <w:rsid w:val="00D37C6F"/>
    <w:rsid w:val="00D4137B"/>
    <w:rsid w:val="00D427B1"/>
    <w:rsid w:val="00D43764"/>
    <w:rsid w:val="00D44F3C"/>
    <w:rsid w:val="00D458A1"/>
    <w:rsid w:val="00D50E74"/>
    <w:rsid w:val="00D51036"/>
    <w:rsid w:val="00D51406"/>
    <w:rsid w:val="00D5143E"/>
    <w:rsid w:val="00D52C75"/>
    <w:rsid w:val="00D535EB"/>
    <w:rsid w:val="00D53D17"/>
    <w:rsid w:val="00D545E2"/>
    <w:rsid w:val="00D5464D"/>
    <w:rsid w:val="00D54ED6"/>
    <w:rsid w:val="00D554E8"/>
    <w:rsid w:val="00D56D34"/>
    <w:rsid w:val="00D600B2"/>
    <w:rsid w:val="00D60D6C"/>
    <w:rsid w:val="00D6102F"/>
    <w:rsid w:val="00D629B5"/>
    <w:rsid w:val="00D636B9"/>
    <w:rsid w:val="00D64136"/>
    <w:rsid w:val="00D65502"/>
    <w:rsid w:val="00D656E9"/>
    <w:rsid w:val="00D6659F"/>
    <w:rsid w:val="00D71C40"/>
    <w:rsid w:val="00D72CB8"/>
    <w:rsid w:val="00D72F7D"/>
    <w:rsid w:val="00D7315B"/>
    <w:rsid w:val="00D73A13"/>
    <w:rsid w:val="00D73EB6"/>
    <w:rsid w:val="00D7412E"/>
    <w:rsid w:val="00D7469F"/>
    <w:rsid w:val="00D76665"/>
    <w:rsid w:val="00D768C1"/>
    <w:rsid w:val="00D771E7"/>
    <w:rsid w:val="00D82F8E"/>
    <w:rsid w:val="00D84F15"/>
    <w:rsid w:val="00D8761E"/>
    <w:rsid w:val="00D9396B"/>
    <w:rsid w:val="00D952C5"/>
    <w:rsid w:val="00D963CF"/>
    <w:rsid w:val="00D96949"/>
    <w:rsid w:val="00D9780A"/>
    <w:rsid w:val="00D97997"/>
    <w:rsid w:val="00DA0203"/>
    <w:rsid w:val="00DA183C"/>
    <w:rsid w:val="00DA1F1E"/>
    <w:rsid w:val="00DA24B1"/>
    <w:rsid w:val="00DA37A0"/>
    <w:rsid w:val="00DA3DFE"/>
    <w:rsid w:val="00DA4E4E"/>
    <w:rsid w:val="00DA5A55"/>
    <w:rsid w:val="00DA720C"/>
    <w:rsid w:val="00DB0DE4"/>
    <w:rsid w:val="00DB12BB"/>
    <w:rsid w:val="00DB2C91"/>
    <w:rsid w:val="00DB4016"/>
    <w:rsid w:val="00DB430C"/>
    <w:rsid w:val="00DB4503"/>
    <w:rsid w:val="00DB4590"/>
    <w:rsid w:val="00DB49B2"/>
    <w:rsid w:val="00DB49E3"/>
    <w:rsid w:val="00DB4F45"/>
    <w:rsid w:val="00DB65D9"/>
    <w:rsid w:val="00DB6949"/>
    <w:rsid w:val="00DB6F95"/>
    <w:rsid w:val="00DB7081"/>
    <w:rsid w:val="00DC0469"/>
    <w:rsid w:val="00DC0721"/>
    <w:rsid w:val="00DC11FB"/>
    <w:rsid w:val="00DC1B08"/>
    <w:rsid w:val="00DC286F"/>
    <w:rsid w:val="00DC2BEA"/>
    <w:rsid w:val="00DC3380"/>
    <w:rsid w:val="00DC373B"/>
    <w:rsid w:val="00DC37E6"/>
    <w:rsid w:val="00DC3953"/>
    <w:rsid w:val="00DC53EC"/>
    <w:rsid w:val="00DC54BF"/>
    <w:rsid w:val="00DC5B31"/>
    <w:rsid w:val="00DC5CEA"/>
    <w:rsid w:val="00DC7182"/>
    <w:rsid w:val="00DD1F57"/>
    <w:rsid w:val="00DD2198"/>
    <w:rsid w:val="00DD3435"/>
    <w:rsid w:val="00DD34A7"/>
    <w:rsid w:val="00DD44E5"/>
    <w:rsid w:val="00DD4997"/>
    <w:rsid w:val="00DD512D"/>
    <w:rsid w:val="00DD5279"/>
    <w:rsid w:val="00DD5315"/>
    <w:rsid w:val="00DE3C5E"/>
    <w:rsid w:val="00DE4FAD"/>
    <w:rsid w:val="00DE6892"/>
    <w:rsid w:val="00DF1C07"/>
    <w:rsid w:val="00DF2142"/>
    <w:rsid w:val="00DF43C3"/>
    <w:rsid w:val="00DF55DF"/>
    <w:rsid w:val="00DF5C6D"/>
    <w:rsid w:val="00DF5F32"/>
    <w:rsid w:val="00DF619A"/>
    <w:rsid w:val="00DF7289"/>
    <w:rsid w:val="00DF785A"/>
    <w:rsid w:val="00E01CC6"/>
    <w:rsid w:val="00E02437"/>
    <w:rsid w:val="00E03B0E"/>
    <w:rsid w:val="00E03C7A"/>
    <w:rsid w:val="00E040EE"/>
    <w:rsid w:val="00E04457"/>
    <w:rsid w:val="00E06D45"/>
    <w:rsid w:val="00E0743C"/>
    <w:rsid w:val="00E07924"/>
    <w:rsid w:val="00E10B03"/>
    <w:rsid w:val="00E10C63"/>
    <w:rsid w:val="00E126B9"/>
    <w:rsid w:val="00E12C06"/>
    <w:rsid w:val="00E12FAC"/>
    <w:rsid w:val="00E1301D"/>
    <w:rsid w:val="00E1314B"/>
    <w:rsid w:val="00E16901"/>
    <w:rsid w:val="00E16AAA"/>
    <w:rsid w:val="00E21987"/>
    <w:rsid w:val="00E21C6C"/>
    <w:rsid w:val="00E24030"/>
    <w:rsid w:val="00E240EF"/>
    <w:rsid w:val="00E24A98"/>
    <w:rsid w:val="00E24B9F"/>
    <w:rsid w:val="00E25439"/>
    <w:rsid w:val="00E25677"/>
    <w:rsid w:val="00E27726"/>
    <w:rsid w:val="00E328A0"/>
    <w:rsid w:val="00E32EAF"/>
    <w:rsid w:val="00E33115"/>
    <w:rsid w:val="00E344FE"/>
    <w:rsid w:val="00E347BE"/>
    <w:rsid w:val="00E34BE6"/>
    <w:rsid w:val="00E354D0"/>
    <w:rsid w:val="00E372E7"/>
    <w:rsid w:val="00E37496"/>
    <w:rsid w:val="00E40E09"/>
    <w:rsid w:val="00E41DA6"/>
    <w:rsid w:val="00E423EB"/>
    <w:rsid w:val="00E430BF"/>
    <w:rsid w:val="00E43D65"/>
    <w:rsid w:val="00E43DFF"/>
    <w:rsid w:val="00E44B02"/>
    <w:rsid w:val="00E44E97"/>
    <w:rsid w:val="00E4563A"/>
    <w:rsid w:val="00E45940"/>
    <w:rsid w:val="00E46208"/>
    <w:rsid w:val="00E46B3C"/>
    <w:rsid w:val="00E50F6E"/>
    <w:rsid w:val="00E52319"/>
    <w:rsid w:val="00E529FB"/>
    <w:rsid w:val="00E54416"/>
    <w:rsid w:val="00E54F8E"/>
    <w:rsid w:val="00E55797"/>
    <w:rsid w:val="00E610A1"/>
    <w:rsid w:val="00E62988"/>
    <w:rsid w:val="00E630B8"/>
    <w:rsid w:val="00E64217"/>
    <w:rsid w:val="00E64437"/>
    <w:rsid w:val="00E64AFC"/>
    <w:rsid w:val="00E6511A"/>
    <w:rsid w:val="00E65E40"/>
    <w:rsid w:val="00E661FF"/>
    <w:rsid w:val="00E66F49"/>
    <w:rsid w:val="00E67F93"/>
    <w:rsid w:val="00E70D7F"/>
    <w:rsid w:val="00E73068"/>
    <w:rsid w:val="00E73154"/>
    <w:rsid w:val="00E74996"/>
    <w:rsid w:val="00E75AD6"/>
    <w:rsid w:val="00E75F70"/>
    <w:rsid w:val="00E7687A"/>
    <w:rsid w:val="00E76E01"/>
    <w:rsid w:val="00E7748C"/>
    <w:rsid w:val="00E778C7"/>
    <w:rsid w:val="00E81409"/>
    <w:rsid w:val="00E814F9"/>
    <w:rsid w:val="00E8243F"/>
    <w:rsid w:val="00E82617"/>
    <w:rsid w:val="00E832F7"/>
    <w:rsid w:val="00E83C74"/>
    <w:rsid w:val="00E83EF8"/>
    <w:rsid w:val="00E84097"/>
    <w:rsid w:val="00E85987"/>
    <w:rsid w:val="00E87411"/>
    <w:rsid w:val="00E87EE6"/>
    <w:rsid w:val="00E922B3"/>
    <w:rsid w:val="00E923A0"/>
    <w:rsid w:val="00E93E1F"/>
    <w:rsid w:val="00E94840"/>
    <w:rsid w:val="00E954FF"/>
    <w:rsid w:val="00E95C48"/>
    <w:rsid w:val="00E963DD"/>
    <w:rsid w:val="00E96722"/>
    <w:rsid w:val="00EA15ED"/>
    <w:rsid w:val="00EA1EB1"/>
    <w:rsid w:val="00EA2926"/>
    <w:rsid w:val="00EA3FDB"/>
    <w:rsid w:val="00EA4539"/>
    <w:rsid w:val="00EA4ABB"/>
    <w:rsid w:val="00EA6764"/>
    <w:rsid w:val="00EA68FD"/>
    <w:rsid w:val="00EA703C"/>
    <w:rsid w:val="00EA7072"/>
    <w:rsid w:val="00EA70BD"/>
    <w:rsid w:val="00EB0FA7"/>
    <w:rsid w:val="00EB1B7F"/>
    <w:rsid w:val="00EB2190"/>
    <w:rsid w:val="00EB27E3"/>
    <w:rsid w:val="00EB4C8A"/>
    <w:rsid w:val="00EB4D0C"/>
    <w:rsid w:val="00EB4D5C"/>
    <w:rsid w:val="00EB5328"/>
    <w:rsid w:val="00EB6817"/>
    <w:rsid w:val="00EB7122"/>
    <w:rsid w:val="00EC0DCB"/>
    <w:rsid w:val="00EC19CD"/>
    <w:rsid w:val="00EC1D42"/>
    <w:rsid w:val="00EC1DC0"/>
    <w:rsid w:val="00EC48BF"/>
    <w:rsid w:val="00EC4923"/>
    <w:rsid w:val="00EC4FD9"/>
    <w:rsid w:val="00EC5131"/>
    <w:rsid w:val="00EC7BC5"/>
    <w:rsid w:val="00ED024C"/>
    <w:rsid w:val="00ED0EE5"/>
    <w:rsid w:val="00ED12FD"/>
    <w:rsid w:val="00ED3EA6"/>
    <w:rsid w:val="00ED475D"/>
    <w:rsid w:val="00ED4EDA"/>
    <w:rsid w:val="00ED6299"/>
    <w:rsid w:val="00ED6979"/>
    <w:rsid w:val="00ED6BAF"/>
    <w:rsid w:val="00EE109B"/>
    <w:rsid w:val="00EE6436"/>
    <w:rsid w:val="00EE7E47"/>
    <w:rsid w:val="00EE7F5E"/>
    <w:rsid w:val="00EF0909"/>
    <w:rsid w:val="00EF0A07"/>
    <w:rsid w:val="00EF0E5C"/>
    <w:rsid w:val="00EF4A6D"/>
    <w:rsid w:val="00EF4B47"/>
    <w:rsid w:val="00EF711A"/>
    <w:rsid w:val="00F00EB1"/>
    <w:rsid w:val="00F01F45"/>
    <w:rsid w:val="00F024A6"/>
    <w:rsid w:val="00F0293D"/>
    <w:rsid w:val="00F03046"/>
    <w:rsid w:val="00F04830"/>
    <w:rsid w:val="00F05063"/>
    <w:rsid w:val="00F05154"/>
    <w:rsid w:val="00F0520F"/>
    <w:rsid w:val="00F0562B"/>
    <w:rsid w:val="00F06A8E"/>
    <w:rsid w:val="00F11541"/>
    <w:rsid w:val="00F1185A"/>
    <w:rsid w:val="00F12CFA"/>
    <w:rsid w:val="00F1406D"/>
    <w:rsid w:val="00F14ED5"/>
    <w:rsid w:val="00F163A3"/>
    <w:rsid w:val="00F163E7"/>
    <w:rsid w:val="00F17F04"/>
    <w:rsid w:val="00F2026F"/>
    <w:rsid w:val="00F20E9D"/>
    <w:rsid w:val="00F20F86"/>
    <w:rsid w:val="00F20FD2"/>
    <w:rsid w:val="00F2387A"/>
    <w:rsid w:val="00F245B2"/>
    <w:rsid w:val="00F24CF1"/>
    <w:rsid w:val="00F26252"/>
    <w:rsid w:val="00F268BF"/>
    <w:rsid w:val="00F26A51"/>
    <w:rsid w:val="00F27ED8"/>
    <w:rsid w:val="00F3185B"/>
    <w:rsid w:val="00F3571C"/>
    <w:rsid w:val="00F35989"/>
    <w:rsid w:val="00F36082"/>
    <w:rsid w:val="00F403A4"/>
    <w:rsid w:val="00F40D1E"/>
    <w:rsid w:val="00F41EF5"/>
    <w:rsid w:val="00F42390"/>
    <w:rsid w:val="00F4278D"/>
    <w:rsid w:val="00F43170"/>
    <w:rsid w:val="00F441F4"/>
    <w:rsid w:val="00F45EAF"/>
    <w:rsid w:val="00F45EF8"/>
    <w:rsid w:val="00F46A63"/>
    <w:rsid w:val="00F47F90"/>
    <w:rsid w:val="00F51437"/>
    <w:rsid w:val="00F514CF"/>
    <w:rsid w:val="00F51B2C"/>
    <w:rsid w:val="00F51FE5"/>
    <w:rsid w:val="00F522B7"/>
    <w:rsid w:val="00F53341"/>
    <w:rsid w:val="00F53824"/>
    <w:rsid w:val="00F545AA"/>
    <w:rsid w:val="00F566D5"/>
    <w:rsid w:val="00F575FE"/>
    <w:rsid w:val="00F579E5"/>
    <w:rsid w:val="00F623A6"/>
    <w:rsid w:val="00F626FA"/>
    <w:rsid w:val="00F628B5"/>
    <w:rsid w:val="00F6595C"/>
    <w:rsid w:val="00F67001"/>
    <w:rsid w:val="00F671E4"/>
    <w:rsid w:val="00F71777"/>
    <w:rsid w:val="00F71FA1"/>
    <w:rsid w:val="00F72964"/>
    <w:rsid w:val="00F76675"/>
    <w:rsid w:val="00F77473"/>
    <w:rsid w:val="00F824FE"/>
    <w:rsid w:val="00F83013"/>
    <w:rsid w:val="00F832F7"/>
    <w:rsid w:val="00F83407"/>
    <w:rsid w:val="00F85106"/>
    <w:rsid w:val="00F8517E"/>
    <w:rsid w:val="00F86AA0"/>
    <w:rsid w:val="00F86C99"/>
    <w:rsid w:val="00F90F59"/>
    <w:rsid w:val="00F916FB"/>
    <w:rsid w:val="00F92901"/>
    <w:rsid w:val="00F94757"/>
    <w:rsid w:val="00F95256"/>
    <w:rsid w:val="00F95BD9"/>
    <w:rsid w:val="00F976F8"/>
    <w:rsid w:val="00F97F0B"/>
    <w:rsid w:val="00FA072D"/>
    <w:rsid w:val="00FA1179"/>
    <w:rsid w:val="00FA1487"/>
    <w:rsid w:val="00FA154B"/>
    <w:rsid w:val="00FA18F7"/>
    <w:rsid w:val="00FA20E3"/>
    <w:rsid w:val="00FA221F"/>
    <w:rsid w:val="00FA398C"/>
    <w:rsid w:val="00FA42CB"/>
    <w:rsid w:val="00FA42F2"/>
    <w:rsid w:val="00FA50F3"/>
    <w:rsid w:val="00FA57E1"/>
    <w:rsid w:val="00FA64BD"/>
    <w:rsid w:val="00FA6D20"/>
    <w:rsid w:val="00FA6D95"/>
    <w:rsid w:val="00FA7861"/>
    <w:rsid w:val="00FA7DEB"/>
    <w:rsid w:val="00FB001C"/>
    <w:rsid w:val="00FB0ACC"/>
    <w:rsid w:val="00FB0EC9"/>
    <w:rsid w:val="00FB258F"/>
    <w:rsid w:val="00FB39F3"/>
    <w:rsid w:val="00FB5ADD"/>
    <w:rsid w:val="00FB7152"/>
    <w:rsid w:val="00FB7311"/>
    <w:rsid w:val="00FC0C26"/>
    <w:rsid w:val="00FC491C"/>
    <w:rsid w:val="00FC6049"/>
    <w:rsid w:val="00FD06AE"/>
    <w:rsid w:val="00FD1A36"/>
    <w:rsid w:val="00FD1B68"/>
    <w:rsid w:val="00FD1BB5"/>
    <w:rsid w:val="00FD3721"/>
    <w:rsid w:val="00FD403F"/>
    <w:rsid w:val="00FD49C3"/>
    <w:rsid w:val="00FD63E4"/>
    <w:rsid w:val="00FD7B03"/>
    <w:rsid w:val="00FE0076"/>
    <w:rsid w:val="00FE10E4"/>
    <w:rsid w:val="00FE2450"/>
    <w:rsid w:val="00FE2773"/>
    <w:rsid w:val="00FE392D"/>
    <w:rsid w:val="00FE3BA8"/>
    <w:rsid w:val="00FE5D3C"/>
    <w:rsid w:val="00FE5E2B"/>
    <w:rsid w:val="00FF0B88"/>
    <w:rsid w:val="00FF0CCA"/>
    <w:rsid w:val="00FF17E2"/>
    <w:rsid w:val="00FF28EB"/>
    <w:rsid w:val="00FF2DE8"/>
    <w:rsid w:val="00FF332A"/>
    <w:rsid w:val="00FF3563"/>
    <w:rsid w:val="00FF3D61"/>
    <w:rsid w:val="00FF41CB"/>
    <w:rsid w:val="00FF434E"/>
    <w:rsid w:val="00FF5E71"/>
    <w:rsid w:val="01B82438"/>
    <w:rsid w:val="047B09B6"/>
    <w:rsid w:val="05BD3E8B"/>
    <w:rsid w:val="06123DD0"/>
    <w:rsid w:val="0639341C"/>
    <w:rsid w:val="06FE6B3F"/>
    <w:rsid w:val="08DD3BC7"/>
    <w:rsid w:val="0A6558BE"/>
    <w:rsid w:val="0C8B68A9"/>
    <w:rsid w:val="0D991CC9"/>
    <w:rsid w:val="0D9A2C93"/>
    <w:rsid w:val="0EA92D86"/>
    <w:rsid w:val="1102547E"/>
    <w:rsid w:val="1141600C"/>
    <w:rsid w:val="11CE4C9C"/>
    <w:rsid w:val="13D607DF"/>
    <w:rsid w:val="16AB2114"/>
    <w:rsid w:val="19574329"/>
    <w:rsid w:val="199B021E"/>
    <w:rsid w:val="1B157B5C"/>
    <w:rsid w:val="1DA578BD"/>
    <w:rsid w:val="1ECB3C4C"/>
    <w:rsid w:val="20DF2F05"/>
    <w:rsid w:val="21286E09"/>
    <w:rsid w:val="21A5569B"/>
    <w:rsid w:val="24014DFE"/>
    <w:rsid w:val="27B32BD6"/>
    <w:rsid w:val="28102FC1"/>
    <w:rsid w:val="287E6B0E"/>
    <w:rsid w:val="2AF60420"/>
    <w:rsid w:val="2B8925CC"/>
    <w:rsid w:val="2BF954FE"/>
    <w:rsid w:val="2C072B97"/>
    <w:rsid w:val="2C5E2824"/>
    <w:rsid w:val="2E4C5B33"/>
    <w:rsid w:val="3076315E"/>
    <w:rsid w:val="31AE388F"/>
    <w:rsid w:val="320702FB"/>
    <w:rsid w:val="320A053F"/>
    <w:rsid w:val="33AE48CC"/>
    <w:rsid w:val="359207AA"/>
    <w:rsid w:val="35E549D9"/>
    <w:rsid w:val="360E4154"/>
    <w:rsid w:val="36DA3283"/>
    <w:rsid w:val="37060F75"/>
    <w:rsid w:val="37992D8D"/>
    <w:rsid w:val="3AC20697"/>
    <w:rsid w:val="3ACE0BAD"/>
    <w:rsid w:val="3B0B64B3"/>
    <w:rsid w:val="3D2C725B"/>
    <w:rsid w:val="3DD6786F"/>
    <w:rsid w:val="3E5468CF"/>
    <w:rsid w:val="3EBB705C"/>
    <w:rsid w:val="42755200"/>
    <w:rsid w:val="437E2E76"/>
    <w:rsid w:val="47B21F22"/>
    <w:rsid w:val="484215A7"/>
    <w:rsid w:val="4844121B"/>
    <w:rsid w:val="48A71C58"/>
    <w:rsid w:val="49BF0774"/>
    <w:rsid w:val="4A172462"/>
    <w:rsid w:val="4D907392"/>
    <w:rsid w:val="4DFC67D6"/>
    <w:rsid w:val="51976CDE"/>
    <w:rsid w:val="52C13C7D"/>
    <w:rsid w:val="536C4027"/>
    <w:rsid w:val="53986FA1"/>
    <w:rsid w:val="53B813F1"/>
    <w:rsid w:val="54414F42"/>
    <w:rsid w:val="54722FC1"/>
    <w:rsid w:val="563459FC"/>
    <w:rsid w:val="568E01E7"/>
    <w:rsid w:val="5AC266B1"/>
    <w:rsid w:val="5D485594"/>
    <w:rsid w:val="5EC272D5"/>
    <w:rsid w:val="5FD9175D"/>
    <w:rsid w:val="5FE82423"/>
    <w:rsid w:val="6057789C"/>
    <w:rsid w:val="60C1488E"/>
    <w:rsid w:val="61CE1800"/>
    <w:rsid w:val="630006BE"/>
    <w:rsid w:val="65546448"/>
    <w:rsid w:val="66D76AB5"/>
    <w:rsid w:val="66DA4365"/>
    <w:rsid w:val="67551CE1"/>
    <w:rsid w:val="67F33847"/>
    <w:rsid w:val="69D576D0"/>
    <w:rsid w:val="6A4D243B"/>
    <w:rsid w:val="6A846934"/>
    <w:rsid w:val="6B327D64"/>
    <w:rsid w:val="6C060AF4"/>
    <w:rsid w:val="6EF966EE"/>
    <w:rsid w:val="6FD40E0F"/>
    <w:rsid w:val="72305E9E"/>
    <w:rsid w:val="7253578A"/>
    <w:rsid w:val="731F0729"/>
    <w:rsid w:val="746F2FAE"/>
    <w:rsid w:val="75FD3C0E"/>
    <w:rsid w:val="77510F5D"/>
    <w:rsid w:val="77552ED9"/>
    <w:rsid w:val="77753025"/>
    <w:rsid w:val="777B3C42"/>
    <w:rsid w:val="78760DAF"/>
    <w:rsid w:val="7A570902"/>
    <w:rsid w:val="7CA76112"/>
    <w:rsid w:val="7D7704CB"/>
    <w:rsid w:val="7D9A72EE"/>
    <w:rsid w:val="7DE42208"/>
    <w:rsid w:val="7E2766A8"/>
    <w:rsid w:val="7FE10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9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link w:val="92"/>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spacing w:before="240" w:after="64" w:line="320" w:lineRule="auto"/>
      <w:outlineLvl w:val="6"/>
    </w:pPr>
    <w:rPr>
      <w:b/>
      <w:bCs/>
      <w:sz w:val="24"/>
    </w:rPr>
  </w:style>
  <w:style w:type="paragraph" w:styleId="10">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76">
    <w:name w:val="Default Paragraph Font"/>
    <w:semiHidden/>
    <w:unhideWhenUsed/>
    <w:qFormat/>
    <w:uiPriority w:val="1"/>
  </w:style>
  <w:style w:type="table" w:default="1" w:styleId="7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wordWrap w:val="0"/>
      <w:spacing w:line="480" w:lineRule="exact"/>
      <w:jc w:val="right"/>
    </w:pPr>
    <w:rPr>
      <w:color w:val="000000"/>
      <w:position w:val="-10"/>
      <w:sz w:val="18"/>
    </w:rPr>
  </w:style>
  <w:style w:type="paragraph" w:styleId="12">
    <w:name w:val="List 3"/>
    <w:basedOn w:val="1"/>
    <w:qFormat/>
    <w:uiPriority w:val="0"/>
    <w:pPr>
      <w:ind w:left="100" w:leftChars="400" w:hanging="200" w:hangingChars="200"/>
    </w:pPr>
    <w:rPr>
      <w:szCs w:val="24"/>
    </w:rPr>
  </w:style>
  <w:style w:type="paragraph" w:styleId="13">
    <w:name w:val="toc 7"/>
    <w:basedOn w:val="14"/>
    <w:next w:val="1"/>
    <w:semiHidden/>
    <w:qFormat/>
    <w:uiPriority w:val="0"/>
    <w:pPr>
      <w:tabs>
        <w:tab w:val="right" w:leader="dot" w:pos="9345"/>
      </w:tabs>
    </w:pPr>
  </w:style>
  <w:style w:type="paragraph" w:styleId="14">
    <w:name w:val="toc 6"/>
    <w:basedOn w:val="15"/>
    <w:next w:val="1"/>
    <w:semiHidden/>
    <w:qFormat/>
    <w:uiPriority w:val="0"/>
    <w:pPr>
      <w:tabs>
        <w:tab w:val="right" w:leader="dot" w:pos="9345"/>
      </w:tabs>
    </w:pPr>
  </w:style>
  <w:style w:type="paragraph" w:styleId="15">
    <w:name w:val="toc 5"/>
    <w:basedOn w:val="16"/>
    <w:next w:val="1"/>
    <w:semiHidden/>
    <w:qFormat/>
    <w:uiPriority w:val="0"/>
    <w:pPr>
      <w:tabs>
        <w:tab w:val="right" w:leader="dot" w:pos="9345"/>
      </w:tabs>
    </w:pPr>
  </w:style>
  <w:style w:type="paragraph" w:styleId="16">
    <w:name w:val="toc 4"/>
    <w:basedOn w:val="17"/>
    <w:next w:val="1"/>
    <w:semiHidden/>
    <w:qFormat/>
    <w:uiPriority w:val="0"/>
    <w:pPr>
      <w:tabs>
        <w:tab w:val="right" w:leader="dot" w:pos="9345"/>
      </w:tabs>
    </w:pPr>
  </w:style>
  <w:style w:type="paragraph" w:styleId="17">
    <w:name w:val="toc 3"/>
    <w:basedOn w:val="18"/>
    <w:next w:val="1"/>
    <w:semiHidden/>
    <w:qFormat/>
    <w:uiPriority w:val="0"/>
    <w:pPr>
      <w:tabs>
        <w:tab w:val="right" w:leader="dot" w:pos="9345"/>
      </w:tabs>
    </w:pPr>
  </w:style>
  <w:style w:type="paragraph" w:styleId="18">
    <w:name w:val="toc 2"/>
    <w:basedOn w:val="19"/>
    <w:next w:val="1"/>
    <w:semiHidden/>
    <w:qFormat/>
    <w:uiPriority w:val="0"/>
    <w:pPr>
      <w:tabs>
        <w:tab w:val="right" w:leader="dot" w:pos="9345"/>
      </w:tabs>
    </w:pPr>
    <w:rPr>
      <w:color w:val="000000"/>
    </w:rPr>
  </w:style>
  <w:style w:type="paragraph" w:styleId="19">
    <w:name w:val="toc 1"/>
    <w:next w:val="1"/>
    <w:qFormat/>
    <w:uiPriority w:val="39"/>
    <w:pPr>
      <w:tabs>
        <w:tab w:val="right" w:leader="dot" w:pos="9345"/>
      </w:tabs>
      <w:spacing w:line="420" w:lineRule="exact"/>
      <w:jc w:val="both"/>
    </w:pPr>
    <w:rPr>
      <w:rFonts w:ascii="宋体" w:hAnsi="Times New Roman" w:eastAsia="宋体" w:cs="Times New Roman"/>
      <w:sz w:val="21"/>
      <w:lang w:val="en-US" w:eastAsia="zh-CN" w:bidi="ar-SA"/>
    </w:rPr>
  </w:style>
  <w:style w:type="paragraph" w:styleId="20">
    <w:name w:val="List Number 2"/>
    <w:basedOn w:val="1"/>
    <w:qFormat/>
    <w:uiPriority w:val="0"/>
    <w:pPr>
      <w:numPr>
        <w:ilvl w:val="0"/>
        <w:numId w:val="1"/>
      </w:numPr>
      <w:tabs>
        <w:tab w:val="left" w:pos="780"/>
        <w:tab w:val="clear" w:pos="360"/>
      </w:tabs>
      <w:ind w:left="780" w:leftChars="200"/>
    </w:pPr>
    <w:rPr>
      <w:szCs w:val="24"/>
    </w:rPr>
  </w:style>
  <w:style w:type="paragraph" w:styleId="21">
    <w:name w:val="Note Heading"/>
    <w:basedOn w:val="1"/>
    <w:next w:val="1"/>
    <w:qFormat/>
    <w:uiPriority w:val="0"/>
    <w:pPr>
      <w:jc w:val="center"/>
    </w:pPr>
    <w:rPr>
      <w:szCs w:val="24"/>
    </w:rPr>
  </w:style>
  <w:style w:type="paragraph" w:styleId="22">
    <w:name w:val="List Bullet 4"/>
    <w:basedOn w:val="1"/>
    <w:qFormat/>
    <w:uiPriority w:val="0"/>
    <w:pPr>
      <w:numPr>
        <w:ilvl w:val="0"/>
        <w:numId w:val="2"/>
      </w:numPr>
      <w:tabs>
        <w:tab w:val="left" w:pos="1620"/>
        <w:tab w:val="clear" w:pos="1200"/>
      </w:tabs>
      <w:ind w:left="1620" w:leftChars="600"/>
    </w:pPr>
    <w:rPr>
      <w:szCs w:val="24"/>
    </w:rPr>
  </w:style>
  <w:style w:type="paragraph" w:styleId="23">
    <w:name w:val="E-mail Signature"/>
    <w:basedOn w:val="1"/>
    <w:qFormat/>
    <w:uiPriority w:val="0"/>
    <w:rPr>
      <w:szCs w:val="24"/>
    </w:rPr>
  </w:style>
  <w:style w:type="paragraph" w:styleId="24">
    <w:name w:val="List Number"/>
    <w:basedOn w:val="1"/>
    <w:qFormat/>
    <w:uiPriority w:val="0"/>
    <w:rPr>
      <w:szCs w:val="24"/>
    </w:rPr>
  </w:style>
  <w:style w:type="paragraph" w:styleId="25">
    <w:name w:val="Normal Indent"/>
    <w:basedOn w:val="1"/>
    <w:qFormat/>
    <w:uiPriority w:val="0"/>
    <w:pPr>
      <w:ind w:firstLine="420" w:firstLineChars="200"/>
    </w:pPr>
    <w:rPr>
      <w:szCs w:val="24"/>
    </w:rPr>
  </w:style>
  <w:style w:type="paragraph" w:styleId="26">
    <w:name w:val="List Bullet"/>
    <w:basedOn w:val="1"/>
    <w:qFormat/>
    <w:uiPriority w:val="0"/>
    <w:pPr>
      <w:numPr>
        <w:ilvl w:val="0"/>
        <w:numId w:val="3"/>
      </w:numPr>
    </w:pPr>
    <w:rPr>
      <w:szCs w:val="24"/>
    </w:rPr>
  </w:style>
  <w:style w:type="paragraph" w:styleId="27">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28">
    <w:name w:val="Document Map"/>
    <w:basedOn w:val="1"/>
    <w:semiHidden/>
    <w:qFormat/>
    <w:uiPriority w:val="0"/>
    <w:pPr>
      <w:shd w:val="clear" w:color="auto" w:fill="000080"/>
    </w:pPr>
  </w:style>
  <w:style w:type="paragraph" w:styleId="29">
    <w:name w:val="annotation text"/>
    <w:basedOn w:val="1"/>
    <w:semiHidden/>
    <w:qFormat/>
    <w:uiPriority w:val="0"/>
    <w:pPr>
      <w:jc w:val="left"/>
    </w:pPr>
    <w:rPr>
      <w:szCs w:val="24"/>
    </w:rPr>
  </w:style>
  <w:style w:type="paragraph" w:styleId="30">
    <w:name w:val="Salutation"/>
    <w:basedOn w:val="1"/>
    <w:next w:val="1"/>
    <w:qFormat/>
    <w:uiPriority w:val="0"/>
    <w:rPr>
      <w:szCs w:val="24"/>
    </w:rPr>
  </w:style>
  <w:style w:type="paragraph" w:styleId="31">
    <w:name w:val="Body Text 3"/>
    <w:basedOn w:val="1"/>
    <w:qFormat/>
    <w:uiPriority w:val="0"/>
    <w:pPr>
      <w:spacing w:after="120"/>
    </w:pPr>
    <w:rPr>
      <w:sz w:val="16"/>
      <w:szCs w:val="16"/>
    </w:rPr>
  </w:style>
  <w:style w:type="paragraph" w:styleId="32">
    <w:name w:val="Closing"/>
    <w:basedOn w:val="1"/>
    <w:qFormat/>
    <w:uiPriority w:val="0"/>
    <w:pPr>
      <w:ind w:left="100" w:leftChars="2100"/>
    </w:pPr>
    <w:rPr>
      <w:szCs w:val="24"/>
    </w:rPr>
  </w:style>
  <w:style w:type="paragraph" w:styleId="33">
    <w:name w:val="List Bullet 3"/>
    <w:basedOn w:val="1"/>
    <w:qFormat/>
    <w:uiPriority w:val="0"/>
    <w:pPr>
      <w:numPr>
        <w:ilvl w:val="0"/>
        <w:numId w:val="4"/>
      </w:numPr>
      <w:tabs>
        <w:tab w:val="left" w:pos="1200"/>
        <w:tab w:val="clear" w:pos="780"/>
      </w:tabs>
      <w:ind w:left="1200" w:leftChars="400"/>
    </w:pPr>
    <w:rPr>
      <w:szCs w:val="24"/>
    </w:rPr>
  </w:style>
  <w:style w:type="paragraph" w:styleId="34">
    <w:name w:val="Body Text Indent"/>
    <w:basedOn w:val="1"/>
    <w:qFormat/>
    <w:uiPriority w:val="0"/>
    <w:pPr>
      <w:spacing w:after="120"/>
      <w:ind w:left="420" w:leftChars="200"/>
    </w:pPr>
  </w:style>
  <w:style w:type="paragraph" w:styleId="35">
    <w:name w:val="List Number 3"/>
    <w:basedOn w:val="1"/>
    <w:qFormat/>
    <w:uiPriority w:val="0"/>
    <w:pPr>
      <w:numPr>
        <w:ilvl w:val="0"/>
        <w:numId w:val="5"/>
      </w:numPr>
      <w:tabs>
        <w:tab w:val="left" w:pos="1200"/>
        <w:tab w:val="clear" w:pos="780"/>
      </w:tabs>
      <w:ind w:left="1200" w:leftChars="400"/>
    </w:pPr>
    <w:rPr>
      <w:szCs w:val="24"/>
    </w:rPr>
  </w:style>
  <w:style w:type="paragraph" w:styleId="36">
    <w:name w:val="List 2"/>
    <w:basedOn w:val="1"/>
    <w:qFormat/>
    <w:uiPriority w:val="0"/>
    <w:pPr>
      <w:ind w:left="100" w:leftChars="200" w:hanging="200" w:hangingChars="200"/>
    </w:pPr>
    <w:rPr>
      <w:szCs w:val="24"/>
    </w:rPr>
  </w:style>
  <w:style w:type="paragraph" w:styleId="37">
    <w:name w:val="List Continue"/>
    <w:basedOn w:val="1"/>
    <w:qFormat/>
    <w:uiPriority w:val="0"/>
    <w:pPr>
      <w:numPr>
        <w:ilvl w:val="0"/>
        <w:numId w:val="6"/>
      </w:numPr>
      <w:tabs>
        <w:tab w:val="clear" w:pos="2040"/>
      </w:tabs>
      <w:spacing w:after="120"/>
      <w:ind w:left="420" w:leftChars="200" w:firstLine="0"/>
    </w:pPr>
    <w:rPr>
      <w:szCs w:val="24"/>
    </w:rPr>
  </w:style>
  <w:style w:type="paragraph" w:styleId="38">
    <w:name w:val="Block Text"/>
    <w:basedOn w:val="1"/>
    <w:qFormat/>
    <w:uiPriority w:val="0"/>
    <w:pPr>
      <w:spacing w:after="120"/>
      <w:ind w:left="1440" w:leftChars="700" w:right="1440" w:rightChars="700"/>
    </w:pPr>
    <w:rPr>
      <w:szCs w:val="24"/>
    </w:rPr>
  </w:style>
  <w:style w:type="paragraph" w:styleId="39">
    <w:name w:val="List Bullet 2"/>
    <w:basedOn w:val="1"/>
    <w:qFormat/>
    <w:uiPriority w:val="0"/>
    <w:pPr>
      <w:numPr>
        <w:ilvl w:val="0"/>
        <w:numId w:val="7"/>
      </w:numPr>
      <w:tabs>
        <w:tab w:val="left" w:pos="780"/>
        <w:tab w:val="clear" w:pos="360"/>
      </w:tabs>
      <w:ind w:left="780" w:leftChars="200"/>
    </w:pPr>
    <w:rPr>
      <w:szCs w:val="24"/>
    </w:rPr>
  </w:style>
  <w:style w:type="paragraph" w:styleId="40">
    <w:name w:val="HTML Address"/>
    <w:basedOn w:val="1"/>
    <w:qFormat/>
    <w:uiPriority w:val="0"/>
    <w:rPr>
      <w:i/>
      <w:iCs/>
    </w:rPr>
  </w:style>
  <w:style w:type="paragraph" w:styleId="41">
    <w:name w:val="Plain Text"/>
    <w:basedOn w:val="1"/>
    <w:qFormat/>
    <w:uiPriority w:val="0"/>
    <w:rPr>
      <w:rFonts w:ascii="宋体" w:hAnsi="Courier New" w:cs="Courier New"/>
      <w:szCs w:val="21"/>
    </w:rPr>
  </w:style>
  <w:style w:type="paragraph" w:styleId="42">
    <w:name w:val="List Bullet 5"/>
    <w:basedOn w:val="1"/>
    <w:qFormat/>
    <w:uiPriority w:val="0"/>
    <w:pPr>
      <w:numPr>
        <w:ilvl w:val="0"/>
        <w:numId w:val="8"/>
      </w:numPr>
      <w:tabs>
        <w:tab w:val="left" w:pos="2040"/>
        <w:tab w:val="clear" w:pos="1620"/>
      </w:tabs>
      <w:ind w:left="2040" w:leftChars="800"/>
    </w:pPr>
    <w:rPr>
      <w:szCs w:val="24"/>
    </w:rPr>
  </w:style>
  <w:style w:type="paragraph" w:styleId="43">
    <w:name w:val="List Number 4"/>
    <w:basedOn w:val="1"/>
    <w:qFormat/>
    <w:uiPriority w:val="0"/>
    <w:pPr>
      <w:numPr>
        <w:ilvl w:val="0"/>
        <w:numId w:val="9"/>
      </w:numPr>
      <w:tabs>
        <w:tab w:val="left" w:pos="1620"/>
        <w:tab w:val="clear" w:pos="1200"/>
      </w:tabs>
      <w:ind w:left="1620" w:leftChars="600"/>
    </w:pPr>
    <w:rPr>
      <w:szCs w:val="24"/>
    </w:rPr>
  </w:style>
  <w:style w:type="paragraph" w:styleId="44">
    <w:name w:val="toc 8"/>
    <w:basedOn w:val="13"/>
    <w:next w:val="1"/>
    <w:semiHidden/>
    <w:qFormat/>
    <w:uiPriority w:val="0"/>
  </w:style>
  <w:style w:type="paragraph" w:styleId="45">
    <w:name w:val="Date"/>
    <w:basedOn w:val="1"/>
    <w:next w:val="1"/>
    <w:qFormat/>
    <w:uiPriority w:val="0"/>
    <w:pPr>
      <w:ind w:left="100" w:leftChars="2500"/>
    </w:pPr>
    <w:rPr>
      <w:b/>
      <w:color w:val="0000FF"/>
      <w:szCs w:val="21"/>
    </w:rPr>
  </w:style>
  <w:style w:type="paragraph" w:styleId="46">
    <w:name w:val="Body Text Indent 2"/>
    <w:basedOn w:val="1"/>
    <w:link w:val="93"/>
    <w:qFormat/>
    <w:uiPriority w:val="0"/>
    <w:pPr>
      <w:spacing w:line="360" w:lineRule="auto"/>
      <w:ind w:firstLine="480"/>
    </w:pPr>
    <w:rPr>
      <w:color w:val="FF0000"/>
      <w:kern w:val="0"/>
      <w:sz w:val="24"/>
    </w:rPr>
  </w:style>
  <w:style w:type="paragraph" w:styleId="47">
    <w:name w:val="List Continue 5"/>
    <w:basedOn w:val="1"/>
    <w:qFormat/>
    <w:uiPriority w:val="0"/>
    <w:pPr>
      <w:spacing w:after="120"/>
      <w:ind w:left="2100" w:leftChars="1000"/>
    </w:pPr>
    <w:rPr>
      <w:szCs w:val="24"/>
    </w:rPr>
  </w:style>
  <w:style w:type="paragraph" w:styleId="48">
    <w:name w:val="Balloon Text"/>
    <w:basedOn w:val="1"/>
    <w:semiHidden/>
    <w:qFormat/>
    <w:uiPriority w:val="0"/>
    <w:rPr>
      <w:sz w:val="18"/>
      <w:szCs w:val="18"/>
    </w:rPr>
  </w:style>
  <w:style w:type="paragraph" w:styleId="49">
    <w:name w:val="footer"/>
    <w:basedOn w:val="1"/>
    <w:link w:val="94"/>
    <w:qFormat/>
    <w:uiPriority w:val="99"/>
    <w:pPr>
      <w:tabs>
        <w:tab w:val="center" w:pos="4153"/>
        <w:tab w:val="right" w:pos="8306"/>
      </w:tabs>
      <w:snapToGrid w:val="0"/>
      <w:ind w:right="210" w:rightChars="100"/>
      <w:jc w:val="right"/>
    </w:pPr>
    <w:rPr>
      <w:sz w:val="18"/>
      <w:szCs w:val="18"/>
    </w:rPr>
  </w:style>
  <w:style w:type="paragraph" w:styleId="50">
    <w:name w:val="envelope return"/>
    <w:basedOn w:val="1"/>
    <w:qFormat/>
    <w:uiPriority w:val="0"/>
    <w:pPr>
      <w:snapToGrid w:val="0"/>
    </w:pPr>
    <w:rPr>
      <w:rFonts w:ascii="Arial" w:hAnsi="Arial" w:cs="Arial"/>
      <w:szCs w:val="24"/>
    </w:rPr>
  </w:style>
  <w:style w:type="paragraph" w:styleId="5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2">
    <w:name w:val="Signature"/>
    <w:basedOn w:val="1"/>
    <w:qFormat/>
    <w:uiPriority w:val="0"/>
    <w:pPr>
      <w:ind w:left="100" w:leftChars="2100"/>
    </w:pPr>
    <w:rPr>
      <w:szCs w:val="24"/>
    </w:rPr>
  </w:style>
  <w:style w:type="paragraph" w:styleId="53">
    <w:name w:val="List Continue 4"/>
    <w:basedOn w:val="1"/>
    <w:qFormat/>
    <w:uiPriority w:val="0"/>
    <w:pPr>
      <w:spacing w:after="120"/>
      <w:ind w:left="1680" w:leftChars="800"/>
    </w:pPr>
    <w:rPr>
      <w:szCs w:val="24"/>
    </w:rPr>
  </w:style>
  <w:style w:type="paragraph" w:styleId="54">
    <w:name w:val="Subtitle"/>
    <w:basedOn w:val="1"/>
    <w:qFormat/>
    <w:uiPriority w:val="0"/>
    <w:pPr>
      <w:spacing w:before="240" w:after="60" w:line="312" w:lineRule="auto"/>
      <w:jc w:val="center"/>
      <w:outlineLvl w:val="1"/>
    </w:pPr>
    <w:rPr>
      <w:rFonts w:ascii="Arial" w:hAnsi="Arial" w:cs="Arial"/>
      <w:b/>
      <w:bCs/>
      <w:kern w:val="28"/>
      <w:sz w:val="32"/>
      <w:szCs w:val="32"/>
    </w:rPr>
  </w:style>
  <w:style w:type="paragraph" w:styleId="55">
    <w:name w:val="List Number 5"/>
    <w:basedOn w:val="1"/>
    <w:qFormat/>
    <w:uiPriority w:val="0"/>
    <w:pPr>
      <w:numPr>
        <w:ilvl w:val="0"/>
        <w:numId w:val="10"/>
      </w:numPr>
      <w:tabs>
        <w:tab w:val="left" w:pos="2040"/>
        <w:tab w:val="clear" w:pos="1620"/>
      </w:tabs>
      <w:ind w:left="2040" w:leftChars="800"/>
    </w:pPr>
    <w:rPr>
      <w:szCs w:val="24"/>
    </w:rPr>
  </w:style>
  <w:style w:type="paragraph" w:styleId="56">
    <w:name w:val="List"/>
    <w:basedOn w:val="1"/>
    <w:qFormat/>
    <w:uiPriority w:val="0"/>
    <w:pPr>
      <w:ind w:left="200" w:hanging="200" w:hangingChars="200"/>
    </w:pPr>
    <w:rPr>
      <w:szCs w:val="24"/>
    </w:rPr>
  </w:style>
  <w:style w:type="paragraph" w:styleId="57">
    <w:name w:val="footnote text"/>
    <w:basedOn w:val="1"/>
    <w:semiHidden/>
    <w:qFormat/>
    <w:uiPriority w:val="0"/>
    <w:pPr>
      <w:snapToGrid w:val="0"/>
      <w:jc w:val="left"/>
    </w:pPr>
    <w:rPr>
      <w:sz w:val="18"/>
      <w:szCs w:val="18"/>
    </w:rPr>
  </w:style>
  <w:style w:type="paragraph" w:styleId="58">
    <w:name w:val="List 5"/>
    <w:basedOn w:val="1"/>
    <w:qFormat/>
    <w:uiPriority w:val="0"/>
    <w:pPr>
      <w:ind w:left="100" w:leftChars="800" w:hanging="200" w:hangingChars="200"/>
    </w:pPr>
    <w:rPr>
      <w:szCs w:val="24"/>
    </w:rPr>
  </w:style>
  <w:style w:type="paragraph" w:styleId="59">
    <w:name w:val="Body Text Indent 3"/>
    <w:basedOn w:val="1"/>
    <w:qFormat/>
    <w:uiPriority w:val="0"/>
    <w:pPr>
      <w:spacing w:line="360" w:lineRule="auto"/>
    </w:pPr>
    <w:rPr>
      <w:rFonts w:ascii="宋体" w:hAnsi="宋体"/>
      <w:szCs w:val="24"/>
    </w:rPr>
  </w:style>
  <w:style w:type="paragraph" w:styleId="60">
    <w:name w:val="toc 9"/>
    <w:basedOn w:val="44"/>
    <w:next w:val="1"/>
    <w:semiHidden/>
    <w:qFormat/>
    <w:uiPriority w:val="0"/>
  </w:style>
  <w:style w:type="paragraph" w:styleId="61">
    <w:name w:val="Body Text 2"/>
    <w:basedOn w:val="1"/>
    <w:qFormat/>
    <w:uiPriority w:val="0"/>
    <w:pPr>
      <w:spacing w:after="120" w:line="480" w:lineRule="auto"/>
    </w:pPr>
    <w:rPr>
      <w:szCs w:val="24"/>
    </w:rPr>
  </w:style>
  <w:style w:type="paragraph" w:styleId="62">
    <w:name w:val="List 4"/>
    <w:basedOn w:val="1"/>
    <w:qFormat/>
    <w:uiPriority w:val="0"/>
    <w:pPr>
      <w:ind w:left="100" w:leftChars="600" w:hanging="200" w:hangingChars="200"/>
    </w:pPr>
    <w:rPr>
      <w:szCs w:val="24"/>
    </w:rPr>
  </w:style>
  <w:style w:type="paragraph" w:styleId="63">
    <w:name w:val="List Continue 2"/>
    <w:basedOn w:val="1"/>
    <w:qFormat/>
    <w:uiPriority w:val="0"/>
    <w:pPr>
      <w:spacing w:after="120"/>
      <w:ind w:left="840" w:leftChars="400"/>
    </w:pPr>
    <w:rPr>
      <w:szCs w:val="24"/>
    </w:rPr>
  </w:style>
  <w:style w:type="paragraph" w:styleId="6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5">
    <w:name w:val="HTML Preformatted"/>
    <w:basedOn w:val="1"/>
    <w:qFormat/>
    <w:uiPriority w:val="0"/>
    <w:rPr>
      <w:rFonts w:ascii="Courier New" w:hAnsi="Courier New" w:cs="Courier New"/>
      <w:sz w:val="20"/>
    </w:rPr>
  </w:style>
  <w:style w:type="paragraph" w:styleId="66">
    <w:name w:val="Normal (Web)"/>
    <w:basedOn w:val="1"/>
    <w:qFormat/>
    <w:uiPriority w:val="0"/>
    <w:pPr>
      <w:numPr>
        <w:ilvl w:val="0"/>
        <w:numId w:val="11"/>
      </w:numPr>
      <w:tabs>
        <w:tab w:val="clear" w:pos="2040"/>
      </w:tabs>
      <w:ind w:left="0" w:firstLine="0"/>
    </w:pPr>
    <w:rPr>
      <w:sz w:val="24"/>
      <w:szCs w:val="24"/>
    </w:rPr>
  </w:style>
  <w:style w:type="paragraph" w:styleId="67">
    <w:name w:val="List Continue 3"/>
    <w:basedOn w:val="1"/>
    <w:qFormat/>
    <w:uiPriority w:val="0"/>
    <w:pPr>
      <w:spacing w:after="120"/>
      <w:ind w:left="1260" w:leftChars="600"/>
    </w:pPr>
    <w:rPr>
      <w:szCs w:val="24"/>
    </w:rPr>
  </w:style>
  <w:style w:type="paragraph" w:styleId="68">
    <w:name w:val="index 1"/>
    <w:basedOn w:val="1"/>
    <w:next w:val="1"/>
    <w:semiHidden/>
    <w:qFormat/>
    <w:uiPriority w:val="0"/>
    <w:rPr>
      <w:szCs w:val="24"/>
    </w:rPr>
  </w:style>
  <w:style w:type="paragraph" w:styleId="69">
    <w:name w:val="index 2"/>
    <w:basedOn w:val="1"/>
    <w:next w:val="1"/>
    <w:semiHidden/>
    <w:qFormat/>
    <w:uiPriority w:val="0"/>
    <w:pPr>
      <w:ind w:left="200" w:leftChars="200"/>
    </w:pPr>
    <w:rPr>
      <w:szCs w:val="24"/>
    </w:rPr>
  </w:style>
  <w:style w:type="paragraph" w:styleId="70">
    <w:name w:val="Title"/>
    <w:basedOn w:val="1"/>
    <w:qFormat/>
    <w:uiPriority w:val="0"/>
    <w:pPr>
      <w:spacing w:before="240" w:after="60"/>
      <w:jc w:val="center"/>
      <w:outlineLvl w:val="0"/>
    </w:pPr>
    <w:rPr>
      <w:rFonts w:ascii="Arial" w:hAnsi="Arial" w:cs="Arial"/>
      <w:b/>
      <w:bCs/>
      <w:sz w:val="32"/>
      <w:szCs w:val="32"/>
    </w:rPr>
  </w:style>
  <w:style w:type="paragraph" w:styleId="71">
    <w:name w:val="annotation subject"/>
    <w:basedOn w:val="29"/>
    <w:next w:val="29"/>
    <w:semiHidden/>
    <w:qFormat/>
    <w:uiPriority w:val="0"/>
    <w:rPr>
      <w:b/>
      <w:bCs/>
    </w:rPr>
  </w:style>
  <w:style w:type="paragraph" w:styleId="72">
    <w:name w:val="Body Text First Indent"/>
    <w:basedOn w:val="2"/>
    <w:qFormat/>
    <w:uiPriority w:val="0"/>
    <w:pPr>
      <w:wordWrap/>
      <w:spacing w:after="120" w:line="240" w:lineRule="auto"/>
      <w:ind w:firstLine="420" w:firstLineChars="100"/>
      <w:jc w:val="both"/>
    </w:pPr>
    <w:rPr>
      <w:color w:val="auto"/>
      <w:position w:val="0"/>
      <w:sz w:val="21"/>
      <w:szCs w:val="24"/>
    </w:rPr>
  </w:style>
  <w:style w:type="paragraph" w:styleId="73">
    <w:name w:val="Body Text First Indent 2"/>
    <w:basedOn w:val="34"/>
    <w:qFormat/>
    <w:uiPriority w:val="0"/>
    <w:pPr>
      <w:ind w:firstLine="420" w:firstLineChars="200"/>
    </w:pPr>
    <w:rPr>
      <w:szCs w:val="24"/>
    </w:rPr>
  </w:style>
  <w:style w:type="table" w:styleId="75">
    <w:name w:val="Table Grid"/>
    <w:basedOn w:val="7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7">
    <w:name w:val="Strong"/>
    <w:qFormat/>
    <w:uiPriority w:val="0"/>
    <w:rPr>
      <w:rFonts w:ascii="仿宋_GB2312" w:eastAsia="仿宋_GB2312"/>
      <w:b/>
      <w:bCs/>
      <w:sz w:val="28"/>
      <w:szCs w:val="28"/>
      <w:lang w:val="en-US" w:eastAsia="zh-CN" w:bidi="ar-SA"/>
    </w:rPr>
  </w:style>
  <w:style w:type="character" w:styleId="78">
    <w:name w:val="page number"/>
    <w:qFormat/>
    <w:uiPriority w:val="0"/>
    <w:rPr>
      <w:rFonts w:ascii="Times New Roman" w:hAnsi="Times New Roman" w:eastAsia="宋体"/>
      <w:sz w:val="18"/>
    </w:rPr>
  </w:style>
  <w:style w:type="character" w:styleId="79">
    <w:name w:val="FollowedHyperlink"/>
    <w:basedOn w:val="76"/>
    <w:qFormat/>
    <w:uiPriority w:val="0"/>
    <w:rPr>
      <w:color w:val="800080"/>
      <w:u w:val="single"/>
    </w:rPr>
  </w:style>
  <w:style w:type="character" w:styleId="80">
    <w:name w:val="HTML Definition"/>
    <w:qFormat/>
    <w:uiPriority w:val="0"/>
    <w:rPr>
      <w:i/>
      <w:iCs/>
    </w:rPr>
  </w:style>
  <w:style w:type="character" w:styleId="81">
    <w:name w:val="HTML Typewriter"/>
    <w:qFormat/>
    <w:uiPriority w:val="0"/>
    <w:rPr>
      <w:rFonts w:ascii="Courier New" w:hAnsi="Courier New"/>
      <w:sz w:val="20"/>
      <w:szCs w:val="20"/>
    </w:rPr>
  </w:style>
  <w:style w:type="character" w:styleId="82">
    <w:name w:val="HTML Acronym"/>
    <w:basedOn w:val="76"/>
    <w:qFormat/>
    <w:uiPriority w:val="0"/>
  </w:style>
  <w:style w:type="character" w:styleId="83">
    <w:name w:val="HTML Variable"/>
    <w:qFormat/>
    <w:uiPriority w:val="0"/>
    <w:rPr>
      <w:i/>
      <w:iCs/>
    </w:rPr>
  </w:style>
  <w:style w:type="character" w:styleId="84">
    <w:name w:val="Hyperlink"/>
    <w:qFormat/>
    <w:uiPriority w:val="99"/>
    <w:rPr>
      <w:rFonts w:ascii="Times New Roman" w:hAnsi="Times New Roman" w:eastAsia="宋体"/>
      <w:color w:val="auto"/>
      <w:spacing w:val="0"/>
      <w:w w:val="100"/>
      <w:position w:val="0"/>
      <w:sz w:val="21"/>
      <w:u w:val="none"/>
      <w:vertAlign w:val="baseline"/>
    </w:rPr>
  </w:style>
  <w:style w:type="character" w:styleId="85">
    <w:name w:val="HTML Code"/>
    <w:qFormat/>
    <w:uiPriority w:val="0"/>
    <w:rPr>
      <w:rFonts w:ascii="Courier New" w:hAnsi="Courier New"/>
      <w:sz w:val="20"/>
      <w:szCs w:val="20"/>
    </w:rPr>
  </w:style>
  <w:style w:type="character" w:styleId="86">
    <w:name w:val="annotation reference"/>
    <w:basedOn w:val="76"/>
    <w:qFormat/>
    <w:uiPriority w:val="0"/>
    <w:rPr>
      <w:sz w:val="21"/>
      <w:szCs w:val="21"/>
    </w:rPr>
  </w:style>
  <w:style w:type="character" w:styleId="87">
    <w:name w:val="HTML Cite"/>
    <w:qFormat/>
    <w:uiPriority w:val="0"/>
    <w:rPr>
      <w:i/>
      <w:iCs/>
    </w:rPr>
  </w:style>
  <w:style w:type="character" w:styleId="88">
    <w:name w:val="footnote reference"/>
    <w:semiHidden/>
    <w:qFormat/>
    <w:uiPriority w:val="0"/>
    <w:rPr>
      <w:vertAlign w:val="superscript"/>
    </w:rPr>
  </w:style>
  <w:style w:type="character" w:styleId="89">
    <w:name w:val="HTML Keyboard"/>
    <w:qFormat/>
    <w:uiPriority w:val="0"/>
    <w:rPr>
      <w:rFonts w:ascii="Courier New" w:hAnsi="Courier New"/>
      <w:sz w:val="20"/>
      <w:szCs w:val="20"/>
    </w:rPr>
  </w:style>
  <w:style w:type="character" w:styleId="90">
    <w:name w:val="HTML Sample"/>
    <w:qFormat/>
    <w:uiPriority w:val="0"/>
    <w:rPr>
      <w:rFonts w:ascii="Courier New" w:hAnsi="Courier New"/>
    </w:rPr>
  </w:style>
  <w:style w:type="character" w:customStyle="1" w:styleId="91">
    <w:name w:val="标题 2 字符"/>
    <w:link w:val="4"/>
    <w:qFormat/>
    <w:uiPriority w:val="0"/>
    <w:rPr>
      <w:rFonts w:ascii="Arial" w:hAnsi="Arial" w:eastAsia="黑体"/>
      <w:b/>
      <w:bCs/>
      <w:kern w:val="2"/>
      <w:sz w:val="32"/>
      <w:szCs w:val="32"/>
      <w:lang w:val="en-US" w:eastAsia="zh-CN" w:bidi="ar-SA"/>
    </w:rPr>
  </w:style>
  <w:style w:type="character" w:customStyle="1" w:styleId="92">
    <w:name w:val="标题 6 字符"/>
    <w:link w:val="8"/>
    <w:qFormat/>
    <w:uiPriority w:val="0"/>
    <w:rPr>
      <w:rFonts w:ascii="Arial" w:hAnsi="Arial" w:eastAsia="黑体"/>
      <w:b/>
      <w:bCs/>
      <w:kern w:val="2"/>
      <w:sz w:val="24"/>
      <w:lang w:val="en-US" w:eastAsia="zh-CN" w:bidi="ar-SA"/>
    </w:rPr>
  </w:style>
  <w:style w:type="character" w:customStyle="1" w:styleId="93">
    <w:name w:val="正文文本缩进 2 字符"/>
    <w:link w:val="46"/>
    <w:qFormat/>
    <w:uiPriority w:val="0"/>
    <w:rPr>
      <w:rFonts w:eastAsia="宋体"/>
      <w:color w:val="FF0000"/>
      <w:sz w:val="24"/>
      <w:lang w:val="en-US" w:eastAsia="zh-CN" w:bidi="ar-SA"/>
    </w:rPr>
  </w:style>
  <w:style w:type="character" w:customStyle="1" w:styleId="94">
    <w:name w:val="页脚 字符"/>
    <w:basedOn w:val="76"/>
    <w:link w:val="49"/>
    <w:qFormat/>
    <w:uiPriority w:val="99"/>
    <w:rPr>
      <w:kern w:val="2"/>
      <w:sz w:val="18"/>
      <w:szCs w:val="18"/>
    </w:rPr>
  </w:style>
  <w:style w:type="paragraph" w:customStyle="1" w:styleId="95">
    <w:name w:val="Char Char Char1 Char"/>
    <w:basedOn w:val="1"/>
    <w:qFormat/>
    <w:uiPriority w:val="0"/>
    <w:pPr>
      <w:spacing w:line="360" w:lineRule="auto"/>
    </w:pPr>
    <w:rPr>
      <w:rFonts w:ascii="Tahoma" w:hAnsi="Tahoma"/>
      <w:sz w:val="24"/>
    </w:rPr>
  </w:style>
  <w:style w:type="paragraph" w:customStyle="1" w:styleId="9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9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8">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99">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0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01">
    <w:name w:val="标准书眉_偶数页"/>
    <w:basedOn w:val="100"/>
    <w:next w:val="1"/>
    <w:qFormat/>
    <w:uiPriority w:val="0"/>
    <w:pPr>
      <w:jc w:val="left"/>
    </w:pPr>
  </w:style>
  <w:style w:type="paragraph" w:customStyle="1" w:styleId="102">
    <w:name w:val="标准书眉一"/>
    <w:qFormat/>
    <w:uiPriority w:val="0"/>
    <w:pPr>
      <w:jc w:val="both"/>
    </w:pPr>
    <w:rPr>
      <w:rFonts w:ascii="Times New Roman" w:hAnsi="Times New Roman" w:eastAsia="宋体" w:cs="Times New Roman"/>
      <w:lang w:val="en-US" w:eastAsia="zh-CN" w:bidi="ar-SA"/>
    </w:rPr>
  </w:style>
  <w:style w:type="paragraph" w:customStyle="1" w:styleId="103">
    <w:name w:val="前言、引言标题"/>
    <w:next w:val="1"/>
    <w:qFormat/>
    <w:uiPriority w:val="0"/>
    <w:pPr>
      <w:numPr>
        <w:ilvl w:val="0"/>
        <w:numId w:val="12"/>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4">
    <w:name w:val="参考文献、索引标题"/>
    <w:basedOn w:val="103"/>
    <w:next w:val="1"/>
    <w:qFormat/>
    <w:uiPriority w:val="0"/>
    <w:pPr>
      <w:numPr>
        <w:numId w:val="0"/>
      </w:numPr>
      <w:spacing w:after="200"/>
    </w:pPr>
    <w:rPr>
      <w:sz w:val="21"/>
    </w:rPr>
  </w:style>
  <w:style w:type="paragraph" w:customStyle="1" w:styleId="105">
    <w:name w:val="段"/>
    <w:link w:val="10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06">
    <w:name w:val="段 Char"/>
    <w:link w:val="105"/>
    <w:qFormat/>
    <w:uiPriority w:val="0"/>
    <w:rPr>
      <w:rFonts w:ascii="宋体"/>
      <w:sz w:val="21"/>
      <w:lang w:val="en-US" w:eastAsia="zh-CN" w:bidi="ar-SA"/>
    </w:rPr>
  </w:style>
  <w:style w:type="paragraph" w:customStyle="1" w:styleId="107">
    <w:name w:val="章标题"/>
    <w:next w:val="105"/>
    <w:qFormat/>
    <w:uiPriority w:val="0"/>
    <w:pPr>
      <w:numPr>
        <w:ilvl w:val="1"/>
        <w:numId w:val="12"/>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08">
    <w:name w:val="一级条标题"/>
    <w:next w:val="105"/>
    <w:qFormat/>
    <w:uiPriority w:val="0"/>
    <w:pPr>
      <w:numPr>
        <w:ilvl w:val="2"/>
        <w:numId w:val="12"/>
      </w:numPr>
      <w:outlineLvl w:val="2"/>
    </w:pPr>
    <w:rPr>
      <w:rFonts w:ascii="Times New Roman" w:hAnsi="Times New Roman" w:eastAsia="黑体" w:cs="Times New Roman"/>
      <w:sz w:val="21"/>
      <w:lang w:val="en-US" w:eastAsia="zh-CN" w:bidi="ar-SA"/>
    </w:rPr>
  </w:style>
  <w:style w:type="paragraph" w:customStyle="1" w:styleId="109">
    <w:name w:val="二级条标题"/>
    <w:basedOn w:val="108"/>
    <w:next w:val="105"/>
    <w:qFormat/>
    <w:uiPriority w:val="0"/>
    <w:pPr>
      <w:numPr>
        <w:ilvl w:val="3"/>
      </w:numPr>
      <w:outlineLvl w:val="3"/>
    </w:pPr>
  </w:style>
  <w:style w:type="character" w:customStyle="1" w:styleId="110">
    <w:name w:val="发布"/>
    <w:qFormat/>
    <w:uiPriority w:val="0"/>
    <w:rPr>
      <w:rFonts w:ascii="黑体" w:eastAsia="黑体"/>
      <w:spacing w:val="22"/>
      <w:w w:val="100"/>
      <w:position w:val="3"/>
      <w:sz w:val="28"/>
    </w:rPr>
  </w:style>
  <w:style w:type="paragraph" w:customStyle="1" w:styleId="111">
    <w:name w:val="发布部门"/>
    <w:next w:val="105"/>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1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1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14">
    <w:name w:val="封面标准号2"/>
    <w:basedOn w:val="113"/>
    <w:qFormat/>
    <w:uiPriority w:val="0"/>
    <w:pPr>
      <w:framePr w:w="9138" w:h="1244" w:hRule="exact" w:wrap="auto" w:vAnchor="page" w:hAnchor="margin" w:y="2908"/>
      <w:adjustRightInd w:val="0"/>
      <w:spacing w:before="357" w:line="280" w:lineRule="exact"/>
    </w:pPr>
  </w:style>
  <w:style w:type="paragraph" w:customStyle="1" w:styleId="115">
    <w:name w:val="封面标准代替信息"/>
    <w:basedOn w:val="114"/>
    <w:qFormat/>
    <w:uiPriority w:val="0"/>
    <w:pPr>
      <w:spacing w:before="57"/>
    </w:pPr>
    <w:rPr>
      <w:rFonts w:ascii="宋体"/>
      <w:sz w:val="21"/>
    </w:rPr>
  </w:style>
  <w:style w:type="paragraph" w:customStyle="1" w:styleId="11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1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1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19">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2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21">
    <w:name w:val="封面正文"/>
    <w:qFormat/>
    <w:uiPriority w:val="0"/>
    <w:pPr>
      <w:jc w:val="both"/>
    </w:pPr>
    <w:rPr>
      <w:rFonts w:ascii="Times New Roman" w:hAnsi="Times New Roman" w:eastAsia="宋体" w:cs="Times New Roman"/>
      <w:lang w:val="en-US" w:eastAsia="zh-CN" w:bidi="ar-SA"/>
    </w:rPr>
  </w:style>
  <w:style w:type="paragraph" w:customStyle="1" w:styleId="122">
    <w:name w:val="附录标识"/>
    <w:basedOn w:val="103"/>
    <w:qFormat/>
    <w:uiPriority w:val="0"/>
    <w:pPr>
      <w:numPr>
        <w:ilvl w:val="0"/>
        <w:numId w:val="13"/>
      </w:numPr>
      <w:tabs>
        <w:tab w:val="left" w:pos="6405"/>
      </w:tabs>
      <w:spacing w:after="200"/>
    </w:pPr>
    <w:rPr>
      <w:sz w:val="21"/>
    </w:rPr>
  </w:style>
  <w:style w:type="paragraph" w:customStyle="1" w:styleId="123">
    <w:name w:val="附录表标题"/>
    <w:next w:val="105"/>
    <w:qFormat/>
    <w:uiPriority w:val="0"/>
    <w:pPr>
      <w:numPr>
        <w:ilvl w:val="0"/>
        <w:numId w:val="14"/>
      </w:numPr>
      <w:jc w:val="center"/>
      <w:textAlignment w:val="baseline"/>
    </w:pPr>
    <w:rPr>
      <w:rFonts w:ascii="黑体" w:hAnsi="Times New Roman" w:eastAsia="黑体" w:cs="Times New Roman"/>
      <w:kern w:val="21"/>
      <w:sz w:val="21"/>
      <w:lang w:val="en-US" w:eastAsia="zh-CN" w:bidi="ar-SA"/>
    </w:rPr>
  </w:style>
  <w:style w:type="paragraph" w:customStyle="1" w:styleId="124">
    <w:name w:val="附录章标题"/>
    <w:next w:val="105"/>
    <w:qFormat/>
    <w:uiPriority w:val="0"/>
    <w:pPr>
      <w:numPr>
        <w:ilvl w:val="1"/>
        <w:numId w:val="13"/>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25">
    <w:name w:val="附录一级条标题"/>
    <w:basedOn w:val="124"/>
    <w:next w:val="105"/>
    <w:qFormat/>
    <w:uiPriority w:val="0"/>
    <w:pPr>
      <w:numPr>
        <w:ilvl w:val="0"/>
        <w:numId w:val="0"/>
      </w:numPr>
      <w:autoSpaceDN w:val="0"/>
      <w:spacing w:before="0" w:beforeLines="0" w:after="0" w:afterLines="0"/>
      <w:outlineLvl w:val="2"/>
    </w:pPr>
  </w:style>
  <w:style w:type="paragraph" w:customStyle="1" w:styleId="126">
    <w:name w:val="附录二级条标题"/>
    <w:basedOn w:val="125"/>
    <w:next w:val="105"/>
    <w:qFormat/>
    <w:uiPriority w:val="0"/>
    <w:pPr>
      <w:outlineLvl w:val="3"/>
    </w:pPr>
  </w:style>
  <w:style w:type="paragraph" w:customStyle="1" w:styleId="127">
    <w:name w:val="附录三级条标题"/>
    <w:basedOn w:val="126"/>
    <w:next w:val="105"/>
    <w:qFormat/>
    <w:uiPriority w:val="0"/>
    <w:pPr>
      <w:outlineLvl w:val="4"/>
    </w:pPr>
  </w:style>
  <w:style w:type="paragraph" w:customStyle="1" w:styleId="128">
    <w:name w:val="附录四级条标题"/>
    <w:basedOn w:val="127"/>
    <w:next w:val="105"/>
    <w:qFormat/>
    <w:uiPriority w:val="0"/>
    <w:pPr>
      <w:outlineLvl w:val="5"/>
    </w:pPr>
  </w:style>
  <w:style w:type="paragraph" w:customStyle="1" w:styleId="129">
    <w:name w:val="附录图标题"/>
    <w:next w:val="105"/>
    <w:qFormat/>
    <w:uiPriority w:val="0"/>
    <w:pPr>
      <w:numPr>
        <w:ilvl w:val="0"/>
        <w:numId w:val="15"/>
      </w:numPr>
      <w:jc w:val="center"/>
    </w:pPr>
    <w:rPr>
      <w:rFonts w:ascii="黑体" w:hAnsi="Times New Roman" w:eastAsia="黑体" w:cs="Times New Roman"/>
      <w:sz w:val="21"/>
      <w:lang w:val="en-US" w:eastAsia="zh-CN" w:bidi="ar-SA"/>
    </w:rPr>
  </w:style>
  <w:style w:type="paragraph" w:customStyle="1" w:styleId="130">
    <w:name w:val="附录五级条标题"/>
    <w:basedOn w:val="128"/>
    <w:next w:val="105"/>
    <w:qFormat/>
    <w:uiPriority w:val="0"/>
    <w:pPr>
      <w:numPr>
        <w:ilvl w:val="6"/>
        <w:numId w:val="13"/>
      </w:numPr>
      <w:outlineLvl w:val="6"/>
    </w:pPr>
  </w:style>
  <w:style w:type="character" w:customStyle="1" w:styleId="131">
    <w:name w:val="个人答复风格"/>
    <w:qFormat/>
    <w:uiPriority w:val="0"/>
    <w:rPr>
      <w:rFonts w:ascii="Arial" w:hAnsi="Arial" w:eastAsia="宋体" w:cs="Arial"/>
      <w:color w:val="auto"/>
      <w:sz w:val="20"/>
    </w:rPr>
  </w:style>
  <w:style w:type="character" w:customStyle="1" w:styleId="132">
    <w:name w:val="个人撰写风格"/>
    <w:qFormat/>
    <w:uiPriority w:val="0"/>
    <w:rPr>
      <w:rFonts w:ascii="Arial" w:hAnsi="Arial" w:eastAsia="宋体" w:cs="Arial"/>
      <w:color w:val="auto"/>
      <w:sz w:val="20"/>
    </w:rPr>
  </w:style>
  <w:style w:type="paragraph" w:customStyle="1" w:styleId="133">
    <w:name w:val="列项——（一级）"/>
    <w:qFormat/>
    <w:uiPriority w:val="0"/>
    <w:pPr>
      <w:widowControl w:val="0"/>
      <w:numPr>
        <w:ilvl w:val="0"/>
        <w:numId w:val="16"/>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134">
    <w:name w:val="列项●（二级）"/>
    <w:qFormat/>
    <w:uiPriority w:val="0"/>
    <w:pPr>
      <w:numPr>
        <w:ilvl w:val="0"/>
        <w:numId w:val="17"/>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135">
    <w:name w:val="目次、标准名称标题"/>
    <w:basedOn w:val="103"/>
    <w:next w:val="105"/>
    <w:qFormat/>
    <w:uiPriority w:val="0"/>
    <w:pPr>
      <w:numPr>
        <w:numId w:val="0"/>
      </w:numPr>
      <w:spacing w:line="460" w:lineRule="exact"/>
    </w:pPr>
  </w:style>
  <w:style w:type="paragraph" w:customStyle="1" w:styleId="13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38">
    <w:name w:val="其他发布部门"/>
    <w:basedOn w:val="111"/>
    <w:qFormat/>
    <w:uiPriority w:val="0"/>
    <w:pPr>
      <w:framePr w:wrap="around"/>
      <w:spacing w:line="0" w:lineRule="atLeast"/>
    </w:pPr>
    <w:rPr>
      <w:rFonts w:ascii="黑体" w:eastAsia="黑体"/>
      <w:b w:val="0"/>
    </w:rPr>
  </w:style>
  <w:style w:type="paragraph" w:customStyle="1" w:styleId="139">
    <w:name w:val="三级条标题"/>
    <w:basedOn w:val="109"/>
    <w:next w:val="105"/>
    <w:qFormat/>
    <w:uiPriority w:val="0"/>
    <w:pPr>
      <w:numPr>
        <w:ilvl w:val="4"/>
      </w:numPr>
      <w:outlineLvl w:val="4"/>
    </w:pPr>
  </w:style>
  <w:style w:type="paragraph" w:customStyle="1" w:styleId="140">
    <w:name w:val="实施日期"/>
    <w:basedOn w:val="112"/>
    <w:qFormat/>
    <w:uiPriority w:val="0"/>
    <w:pPr>
      <w:framePr w:hSpace="0" w:wrap="around" w:xAlign="right"/>
      <w:jc w:val="right"/>
    </w:pPr>
  </w:style>
  <w:style w:type="paragraph" w:customStyle="1" w:styleId="141">
    <w:name w:val="示例"/>
    <w:next w:val="105"/>
    <w:qFormat/>
    <w:uiPriority w:val="0"/>
    <w:pPr>
      <w:numPr>
        <w:ilvl w:val="0"/>
        <w:numId w:val="18"/>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142">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43">
    <w:name w:val="四级条标题"/>
    <w:basedOn w:val="139"/>
    <w:next w:val="105"/>
    <w:qFormat/>
    <w:uiPriority w:val="0"/>
    <w:pPr>
      <w:numPr>
        <w:ilvl w:val="5"/>
      </w:numPr>
      <w:outlineLvl w:val="5"/>
    </w:pPr>
  </w:style>
  <w:style w:type="paragraph" w:customStyle="1" w:styleId="144">
    <w:name w:val="条文脚注"/>
    <w:basedOn w:val="57"/>
    <w:qFormat/>
    <w:uiPriority w:val="0"/>
    <w:pPr>
      <w:ind w:left="780" w:leftChars="200" w:hanging="360" w:hangingChars="200"/>
      <w:jc w:val="both"/>
    </w:pPr>
    <w:rPr>
      <w:rFonts w:ascii="宋体"/>
    </w:rPr>
  </w:style>
  <w:style w:type="paragraph" w:customStyle="1" w:styleId="145">
    <w:name w:val="图表脚注"/>
    <w:next w:val="10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4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47">
    <w:name w:val="五级条标题"/>
    <w:basedOn w:val="143"/>
    <w:next w:val="105"/>
    <w:qFormat/>
    <w:uiPriority w:val="0"/>
    <w:pPr>
      <w:numPr>
        <w:ilvl w:val="6"/>
      </w:numPr>
      <w:outlineLvl w:val="6"/>
    </w:pPr>
  </w:style>
  <w:style w:type="paragraph" w:customStyle="1" w:styleId="148">
    <w:name w:val="正文表标题"/>
    <w:next w:val="105"/>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49">
    <w:name w:val="正文图标题"/>
    <w:next w:val="105"/>
    <w:qFormat/>
    <w:uiPriority w:val="0"/>
    <w:pPr>
      <w:numPr>
        <w:ilvl w:val="0"/>
        <w:numId w:val="20"/>
      </w:numPr>
      <w:jc w:val="center"/>
    </w:pPr>
    <w:rPr>
      <w:rFonts w:ascii="黑体" w:hAnsi="Times New Roman" w:eastAsia="黑体" w:cs="Times New Roman"/>
      <w:sz w:val="21"/>
      <w:lang w:val="en-US" w:eastAsia="zh-CN" w:bidi="ar-SA"/>
    </w:rPr>
  </w:style>
  <w:style w:type="paragraph" w:customStyle="1" w:styleId="150">
    <w:name w:val="注："/>
    <w:next w:val="105"/>
    <w:qFormat/>
    <w:uiPriority w:val="0"/>
    <w:pPr>
      <w:widowControl w:val="0"/>
      <w:numPr>
        <w:ilvl w:val="0"/>
        <w:numId w:val="21"/>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151">
    <w:name w:val="注×："/>
    <w:qFormat/>
    <w:uiPriority w:val="0"/>
    <w:pPr>
      <w:widowControl w:val="0"/>
      <w:numPr>
        <w:ilvl w:val="0"/>
        <w:numId w:val="22"/>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152">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53">
    <w:name w:val="列项◆（三级）"/>
    <w:qFormat/>
    <w:uiPriority w:val="0"/>
    <w:pPr>
      <w:numPr>
        <w:ilvl w:val="0"/>
        <w:numId w:val="23"/>
      </w:numPr>
      <w:ind w:left="800" w:leftChars="600" w:hanging="200" w:hangingChars="200"/>
    </w:pPr>
    <w:rPr>
      <w:rFonts w:ascii="宋体" w:hAnsi="Times New Roman" w:eastAsia="宋体" w:cs="Times New Roman"/>
      <w:sz w:val="21"/>
      <w:lang w:val="en-US" w:eastAsia="zh-CN" w:bidi="ar-SA"/>
    </w:rPr>
  </w:style>
  <w:style w:type="paragraph" w:customStyle="1" w:styleId="154">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155">
    <w:name w:val="Char Char Char Char Char Char Char Char Char Char Char Char Char Char Char Char Char Char Char"/>
    <w:basedOn w:val="1"/>
    <w:qFormat/>
    <w:uiPriority w:val="0"/>
    <w:pPr>
      <w:tabs>
        <w:tab w:val="left" w:pos="6083"/>
      </w:tabs>
      <w:snapToGrid w:val="0"/>
      <w:spacing w:line="360" w:lineRule="auto"/>
      <w:ind w:firstLine="200" w:firstLineChars="200"/>
    </w:pPr>
    <w:rPr>
      <w:rFonts w:ascii="仿宋_GB2312" w:eastAsia="仿宋_GB2312"/>
      <w:kern w:val="0"/>
      <w:sz w:val="28"/>
      <w:szCs w:val="28"/>
    </w:rPr>
  </w:style>
  <w:style w:type="paragraph" w:customStyle="1" w:styleId="15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7">
    <w:name w:val="已访问的超链接1"/>
    <w:qFormat/>
    <w:uiPriority w:val="0"/>
    <w:rPr>
      <w:rFonts w:ascii="仿宋_GB2312" w:eastAsia="仿宋_GB2312"/>
      <w:color w:val="800080"/>
      <w:sz w:val="28"/>
      <w:szCs w:val="28"/>
      <w:u w:val="single"/>
      <w:lang w:val="en-US" w:eastAsia="zh-CN" w:bidi="ar-SA"/>
    </w:rPr>
  </w:style>
  <w:style w:type="paragraph" w:customStyle="1" w:styleId="15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kern w:val="0"/>
      <w:szCs w:val="21"/>
    </w:rPr>
  </w:style>
  <w:style w:type="character" w:customStyle="1" w:styleId="159">
    <w:name w:val="图名 Char Char Char Char Char Char Char Char Char Char"/>
    <w:qFormat/>
    <w:uiPriority w:val="0"/>
    <w:rPr>
      <w:rFonts w:ascii="黑体" w:hAnsi="Arial" w:eastAsia="黑体" w:cs="Arial"/>
    </w:rPr>
  </w:style>
  <w:style w:type="character" w:customStyle="1" w:styleId="160">
    <w:name w:val="样式 宋体 小四 Char"/>
    <w:qFormat/>
    <w:uiPriority w:val="0"/>
    <w:rPr>
      <w:rFonts w:ascii="宋体" w:hAnsi="宋体" w:eastAsia="宋体"/>
      <w:kern w:val="2"/>
      <w:sz w:val="24"/>
      <w:szCs w:val="24"/>
      <w:lang w:val="en-US" w:eastAsia="zh-CN" w:bidi="ar-SA"/>
    </w:rPr>
  </w:style>
  <w:style w:type="paragraph" w:customStyle="1" w:styleId="161">
    <w:name w:val="1"/>
    <w:basedOn w:val="1"/>
    <w:next w:val="46"/>
    <w:qFormat/>
    <w:uiPriority w:val="0"/>
    <w:pPr>
      <w:spacing w:before="60" w:line="400" w:lineRule="exact"/>
      <w:ind w:firstLine="420" w:firstLineChars="200"/>
    </w:pPr>
    <w:rPr>
      <w:rFonts w:ascii="宋体" w:hAnsi="宋体"/>
      <w:kern w:val="0"/>
      <w:szCs w:val="24"/>
    </w:rPr>
  </w:style>
  <w:style w:type="character" w:customStyle="1" w:styleId="162">
    <w:name w:val="biaozhun"/>
    <w:qFormat/>
    <w:uiPriority w:val="0"/>
    <w:rPr>
      <w:rFonts w:ascii="仿宋_GB2312" w:eastAsia="仿宋_GB2312"/>
      <w:sz w:val="28"/>
      <w:szCs w:val="28"/>
      <w:lang w:val="en-US" w:eastAsia="zh-CN" w:bidi="ar-SA"/>
    </w:rPr>
  </w:style>
  <w:style w:type="character" w:customStyle="1" w:styleId="163">
    <w:name w:val="gb"/>
    <w:qFormat/>
    <w:uiPriority w:val="0"/>
    <w:rPr>
      <w:rFonts w:ascii="仿宋_GB2312" w:eastAsia="仿宋_GB2312"/>
      <w:sz w:val="28"/>
      <w:szCs w:val="28"/>
      <w:lang w:val="en-US" w:eastAsia="zh-CN" w:bidi="ar-SA"/>
    </w:rPr>
  </w:style>
  <w:style w:type="paragraph" w:customStyle="1" w:styleId="164">
    <w:name w:val="小注"/>
    <w:basedOn w:val="46"/>
    <w:qFormat/>
    <w:uiPriority w:val="0"/>
    <w:pPr>
      <w:spacing w:before="60" w:line="240" w:lineRule="auto"/>
      <w:ind w:firstLine="360"/>
    </w:pPr>
    <w:rPr>
      <w:rFonts w:ascii="Arial" w:hAnsi="Arial" w:cs="Arial"/>
      <w:color w:val="auto"/>
      <w:sz w:val="18"/>
      <w:szCs w:val="18"/>
    </w:rPr>
  </w:style>
  <w:style w:type="paragraph" w:customStyle="1" w:styleId="165">
    <w:name w:val="第3级标题"/>
    <w:basedOn w:val="1"/>
    <w:next w:val="1"/>
    <w:qFormat/>
    <w:uiPriority w:val="0"/>
    <w:pPr>
      <w:spacing w:before="156" w:line="360" w:lineRule="auto"/>
    </w:pPr>
    <w:rPr>
      <w:rFonts w:ascii="黑体" w:eastAsia="黑体"/>
      <w:szCs w:val="24"/>
    </w:rPr>
  </w:style>
  <w:style w:type="paragraph" w:customStyle="1" w:styleId="166">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67">
    <w:name w:val="表内文字"/>
    <w:basedOn w:val="1"/>
    <w:qFormat/>
    <w:uiPriority w:val="0"/>
    <w:pPr>
      <w:autoSpaceDE w:val="0"/>
      <w:autoSpaceDN w:val="0"/>
      <w:adjustRightInd w:val="0"/>
      <w:snapToGrid w:val="0"/>
      <w:jc w:val="center"/>
    </w:pPr>
    <w:rPr>
      <w:sz w:val="18"/>
      <w:szCs w:val="18"/>
    </w:rPr>
  </w:style>
  <w:style w:type="paragraph" w:customStyle="1" w:styleId="168">
    <w:name w:val="表注"/>
    <w:next w:val="2"/>
    <w:qFormat/>
    <w:uiPriority w:val="0"/>
    <w:pPr>
      <w:ind w:firstLine="362"/>
    </w:pPr>
    <w:rPr>
      <w:rFonts w:ascii="Arial" w:hAnsi="Arial" w:eastAsia="宋体" w:cs="Arial"/>
      <w:color w:val="000000"/>
      <w:sz w:val="18"/>
      <w:szCs w:val="18"/>
      <w:lang w:val="en-US" w:eastAsia="zh-CN" w:bidi="ar-SA"/>
    </w:rPr>
  </w:style>
  <w:style w:type="paragraph" w:customStyle="1" w:styleId="169">
    <w:name w:val="Char Char Char1 Char1"/>
    <w:basedOn w:val="1"/>
    <w:qFormat/>
    <w:uiPriority w:val="0"/>
    <w:pPr>
      <w:spacing w:line="360" w:lineRule="auto"/>
    </w:pPr>
    <w:rPr>
      <w:rFonts w:ascii="Tahoma" w:hAnsi="Tahoma"/>
      <w:sz w:val="24"/>
    </w:rPr>
  </w:style>
  <w:style w:type="paragraph" w:customStyle="1" w:styleId="170">
    <w:name w:val="公式说明"/>
    <w:basedOn w:val="105"/>
    <w:qFormat/>
    <w:uiPriority w:val="0"/>
    <w:pPr>
      <w:tabs>
        <w:tab w:val="center" w:pos="4201"/>
        <w:tab w:val="right" w:leader="dot" w:pos="9298"/>
      </w:tabs>
      <w:ind w:firstLine="420"/>
    </w:pPr>
  </w:style>
  <w:style w:type="paragraph" w:customStyle="1" w:styleId="171">
    <w:name w:val="公式编号"/>
    <w:basedOn w:val="1"/>
    <w:qFormat/>
    <w:uiPriority w:val="0"/>
    <w:pPr>
      <w:jc w:val="right"/>
    </w:pPr>
    <w:rPr>
      <w:rFonts w:cs="宋体"/>
      <w:kern w:val="0"/>
      <w:szCs w:val="21"/>
    </w:rPr>
  </w:style>
  <w:style w:type="paragraph" w:customStyle="1" w:styleId="172">
    <w:name w:val="表中文字"/>
    <w:basedOn w:val="1"/>
    <w:qFormat/>
    <w:uiPriority w:val="0"/>
    <w:pPr>
      <w:tabs>
        <w:tab w:val="left" w:pos="6195"/>
      </w:tabs>
      <w:autoSpaceDE w:val="0"/>
      <w:autoSpaceDN w:val="0"/>
      <w:adjustRightInd w:val="0"/>
      <w:jc w:val="center"/>
    </w:pPr>
    <w:rPr>
      <w:position w:val="-10"/>
      <w:sz w:val="18"/>
      <w:szCs w:val="18"/>
    </w:rPr>
  </w:style>
  <w:style w:type="paragraph" w:customStyle="1" w:styleId="173">
    <w:name w:val="7表名"/>
    <w:basedOn w:val="1"/>
    <w:next w:val="1"/>
    <w:qFormat/>
    <w:uiPriority w:val="0"/>
    <w:pPr>
      <w:spacing w:line="360" w:lineRule="auto"/>
      <w:jc w:val="center"/>
      <w:outlineLvl w:val="4"/>
    </w:pPr>
    <w:rPr>
      <w:rFonts w:ascii="黑体" w:eastAsia="黑体"/>
      <w:szCs w:val="21"/>
    </w:rPr>
  </w:style>
  <w:style w:type="character" w:styleId="174">
    <w:name w:val="Placeholder Text"/>
    <w:basedOn w:val="76"/>
    <w:semiHidden/>
    <w:qFormat/>
    <w:uiPriority w:val="99"/>
    <w:rPr>
      <w:color w:val="808080"/>
    </w:rPr>
  </w:style>
  <w:style w:type="character" w:customStyle="1" w:styleId="175">
    <w:name w:val="font31"/>
    <w:basedOn w:val="76"/>
    <w:qFormat/>
    <w:uiPriority w:val="0"/>
    <w:rPr>
      <w:rFonts w:hint="eastAsia" w:ascii="宋体" w:hAnsi="宋体" w:eastAsia="宋体" w:cs="宋体"/>
      <w:color w:val="000000"/>
      <w:sz w:val="24"/>
      <w:szCs w:val="24"/>
      <w:u w:val="none"/>
    </w:rPr>
  </w:style>
  <w:style w:type="character" w:customStyle="1" w:styleId="176">
    <w:name w:val="font51"/>
    <w:basedOn w:val="76"/>
    <w:qFormat/>
    <w:uiPriority w:val="0"/>
    <w:rPr>
      <w:rFonts w:hint="default" w:ascii="Times New Roman" w:hAnsi="Times New Roman" w:cs="Times New Roman"/>
      <w:color w:val="000000"/>
      <w:sz w:val="24"/>
      <w:szCs w:val="24"/>
      <w:u w:val="none"/>
    </w:rPr>
  </w:style>
  <w:style w:type="character" w:customStyle="1" w:styleId="177">
    <w:name w:val="font01"/>
    <w:basedOn w:val="76"/>
    <w:qFormat/>
    <w:uiPriority w:val="0"/>
    <w:rPr>
      <w:rFonts w:hint="eastAsia" w:ascii="宋体" w:hAnsi="宋体" w:eastAsia="宋体" w:cs="宋体"/>
      <w:color w:val="000000"/>
      <w:sz w:val="24"/>
      <w:szCs w:val="24"/>
      <w:u w:val="none"/>
    </w:rPr>
  </w:style>
  <w:style w:type="character" w:customStyle="1" w:styleId="178">
    <w:name w:val="font11"/>
    <w:basedOn w:val="76"/>
    <w:qFormat/>
    <w:uiPriority w:val="0"/>
    <w:rPr>
      <w:rFonts w:hint="default" w:ascii="Times New Roman" w:hAnsi="Times New Roman" w:cs="Times New Roman"/>
      <w:color w:val="000000"/>
      <w:sz w:val="24"/>
      <w:szCs w:val="24"/>
      <w:u w:val="none"/>
    </w:rPr>
  </w:style>
  <w:style w:type="paragraph" w:styleId="179">
    <w:name w:val="List Paragraph"/>
    <w:basedOn w:val="1"/>
    <w:qFormat/>
    <w:uiPriority w:val="34"/>
    <w:pPr>
      <w:ind w:firstLine="420" w:firstLineChars="200"/>
    </w:pPr>
  </w:style>
  <w:style w:type="paragraph" w:customStyle="1" w:styleId="180">
    <w:name w:val="修订1"/>
    <w:semiHidden/>
    <w:qFormat/>
    <w:uiPriority w:val="99"/>
    <w:rPr>
      <w:rFonts w:ascii="Times New Roman" w:hAnsi="Times New Roman" w:eastAsia="宋体" w:cs="Times New Roman"/>
      <w:kern w:val="2"/>
      <w:sz w:val="21"/>
      <w:lang w:val="en-US" w:eastAsia="zh-CN" w:bidi="ar-SA"/>
    </w:rPr>
  </w:style>
  <w:style w:type="paragraph" w:customStyle="1" w:styleId="181">
    <w:name w:val="修订2"/>
    <w:semiHidden/>
    <w:qFormat/>
    <w:uiPriority w:val="99"/>
    <w:rPr>
      <w:rFonts w:ascii="Times New Roman" w:hAnsi="Times New Roman" w:eastAsia="宋体" w:cs="Times New Roman"/>
      <w:kern w:val="2"/>
      <w:sz w:val="21"/>
      <w:lang w:val="en-US" w:eastAsia="zh-CN" w:bidi="ar-SA"/>
    </w:rPr>
  </w:style>
  <w:style w:type="paragraph" w:customStyle="1" w:styleId="182">
    <w:name w:val="修订3"/>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Template>
  <Company>CNIS</Company>
  <Pages>12</Pages>
  <Words>280</Words>
  <Characters>330</Characters>
  <Lines>56</Lines>
  <Paragraphs>15</Paragraphs>
  <TotalTime>72</TotalTime>
  <ScaleCrop>false</ScaleCrop>
  <LinksUpToDate>false</LinksUpToDate>
  <CharactersWithSpaces>388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2022-12-31T09:44:00Z</dcterms:created>
  <dc:creator>CSH</dc:creator>
  <cp:lastModifiedBy>缘a妙不可言</cp:lastModifiedBy>
  <cp:lastPrinted>2023-01-03T05:37:00Z</cp:lastPrinted>
  <dcterms:modified xsi:type="dcterms:W3CDTF">2025-01-22T01:14:36Z</dcterms:modified>
  <dc:title> </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2052-12.1.0.19770</vt:lpwstr>
  </property>
  <property fmtid="{D5CDD505-2E9C-101B-9397-08002B2CF9AE}" pid="4" name="ICV">
    <vt:lpwstr>E9BC79103E9748C59AA208DC79593FD7_13</vt:lpwstr>
  </property>
  <property fmtid="{D5CDD505-2E9C-101B-9397-08002B2CF9AE}" pid="5" name="KSOTemplateDocerSaveRecord">
    <vt:lpwstr>eyJoZGlkIjoiNTk4OWE1OGI3ODA1Mzc0ZjA0MGFmNzI0ZTBjMjIzMmIiLCJ1c2VySWQiOiI1Njc4NzM4OTgifQ==</vt:lpwstr>
  </property>
</Properties>
</file>